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2D" w:rsidRDefault="00707E2D">
      <w:r>
        <w:t>September 2022</w:t>
      </w:r>
    </w:p>
    <w:p w:rsidR="00707E2D" w:rsidRPr="00707E2D" w:rsidRDefault="00707E2D" w:rsidP="00707E2D">
      <w:pPr>
        <w:pStyle w:val="NoSpacing"/>
      </w:pPr>
    </w:p>
    <w:p w:rsidR="00BD60BD" w:rsidRPr="00BD60BD" w:rsidRDefault="00BD60BD">
      <w:r w:rsidRPr="00BD60BD">
        <w:t>Dear Parent/Carer,</w:t>
      </w:r>
    </w:p>
    <w:p w:rsidR="00BD60BD" w:rsidRPr="00BD60BD" w:rsidRDefault="00BD60BD"/>
    <w:p w:rsidR="00BD60BD" w:rsidRPr="00BD60BD" w:rsidRDefault="00BD60BD">
      <w:r w:rsidRPr="00BD60BD">
        <w:t>Please find in this document the PSHCE programme we offer here at Swakeleys.</w:t>
      </w:r>
    </w:p>
    <w:p w:rsidR="00BD60BD" w:rsidRPr="00BD60BD" w:rsidRDefault="00BD60BD"/>
    <w:p w:rsidR="00BD60BD" w:rsidRPr="00BD60BD" w:rsidRDefault="00BD60BD" w:rsidP="00A26072">
      <w:pPr>
        <w:rPr>
          <w:lang w:val="en"/>
        </w:rPr>
      </w:pPr>
      <w:r w:rsidRPr="00BD60BD">
        <w:t xml:space="preserve">PSHCE is studied by all year groups on a weekly </w:t>
      </w:r>
      <w:r w:rsidR="00707E2D">
        <w:t xml:space="preserve">basis. </w:t>
      </w:r>
      <w:r w:rsidRPr="00BD60BD">
        <w:rPr>
          <w:lang w:val="en"/>
        </w:rPr>
        <w:t>Personal, Social, Health, Ci</w:t>
      </w:r>
      <w:r w:rsidR="00707E2D">
        <w:rPr>
          <w:lang w:val="en"/>
        </w:rPr>
        <w:t>tizenship and Economic (PSHCE) E</w:t>
      </w:r>
      <w:r w:rsidRPr="00BD60BD">
        <w:rPr>
          <w:lang w:val="en"/>
        </w:rPr>
        <w:t xml:space="preserve">ducation is a school subject through which pupils </w:t>
      </w:r>
      <w:r w:rsidRPr="00BD60BD">
        <w:rPr>
          <w:bCs/>
          <w:lang w:val="en"/>
        </w:rPr>
        <w:t>develop the knowledge, skills and attributes they need to manage their lives, now and in the future</w:t>
      </w:r>
      <w:r w:rsidRPr="00BD60BD">
        <w:rPr>
          <w:lang w:val="en"/>
        </w:rPr>
        <w:t>. These skills and attributes help pupils to stay healthy, safe and prepare them for life and work in modern Britain.</w:t>
      </w:r>
    </w:p>
    <w:p w:rsidR="00BD60BD" w:rsidRPr="00BD60BD" w:rsidRDefault="00BD60BD" w:rsidP="00BD60BD">
      <w:pPr>
        <w:pStyle w:val="NoSpacing"/>
        <w:rPr>
          <w:lang w:val="en"/>
        </w:rPr>
      </w:pPr>
    </w:p>
    <w:p w:rsidR="00BD60BD" w:rsidRPr="00BD60BD" w:rsidRDefault="00707E2D" w:rsidP="00BD4ACD">
      <w:r>
        <w:t>T</w:t>
      </w:r>
      <w:r w:rsidR="00BD60BD" w:rsidRPr="00BD60BD">
        <w:t xml:space="preserve">he PSHCE programme </w:t>
      </w:r>
      <w:r>
        <w:t>is</w:t>
      </w:r>
      <w:r w:rsidR="00BD60BD" w:rsidRPr="00BD60BD">
        <w:t xml:space="preserve"> divided into three core themes:</w:t>
      </w:r>
    </w:p>
    <w:p w:rsidR="00BD60BD" w:rsidRPr="00BD60BD" w:rsidRDefault="00BD60BD" w:rsidP="00A26072">
      <w:pPr>
        <w:rPr>
          <w:b/>
        </w:rPr>
      </w:pPr>
      <w:r w:rsidRPr="00BD60BD">
        <w:rPr>
          <w:b/>
        </w:rPr>
        <w:t>Autumn Term: Health &amp; Wellbeing</w:t>
      </w:r>
    </w:p>
    <w:p w:rsidR="00BD60BD" w:rsidRPr="00BD60BD" w:rsidRDefault="00BD60BD" w:rsidP="00A26072">
      <w:pPr>
        <w:rPr>
          <w:b/>
        </w:rPr>
      </w:pPr>
      <w:r w:rsidRPr="00BD60BD">
        <w:rPr>
          <w:b/>
        </w:rPr>
        <w:t>Spring Term: Relationships &amp; Identity</w:t>
      </w:r>
    </w:p>
    <w:p w:rsidR="00BD60BD" w:rsidRPr="00BD60BD" w:rsidRDefault="00BD60BD" w:rsidP="00BD60BD">
      <w:pPr>
        <w:rPr>
          <w:b/>
        </w:rPr>
      </w:pPr>
      <w:r w:rsidRPr="00BD60BD">
        <w:rPr>
          <w:b/>
        </w:rPr>
        <w:t>Summer Term: Living in the Wider World</w:t>
      </w:r>
    </w:p>
    <w:p w:rsidR="00BD60BD" w:rsidRPr="00BD60BD" w:rsidRDefault="00BD60BD" w:rsidP="00BD60BD">
      <w:pPr>
        <w:pStyle w:val="NoSpacing"/>
      </w:pPr>
    </w:p>
    <w:p w:rsidR="00BD60BD" w:rsidRPr="00BD60BD" w:rsidRDefault="00BD60BD" w:rsidP="00BD60BD">
      <w:pPr>
        <w:pStyle w:val="NoSpacing"/>
      </w:pPr>
      <w:r w:rsidRPr="00BD60BD">
        <w:t xml:space="preserve">The </w:t>
      </w:r>
      <w:r w:rsidR="00707E2D">
        <w:t xml:space="preserve">Spring and Summer </w:t>
      </w:r>
      <w:r w:rsidRPr="00BD60BD">
        <w:t xml:space="preserve">programme for year </w:t>
      </w:r>
      <w:r w:rsidR="00707E2D">
        <w:t>9</w:t>
      </w:r>
      <w:r w:rsidRPr="00BD60BD">
        <w:t xml:space="preserve"> is still being developed </w:t>
      </w:r>
      <w:r w:rsidR="00707E2D">
        <w:t>due to changing from a fortnightly lesson to a weekly lesson</w:t>
      </w:r>
      <w:r w:rsidR="00BD4ACD">
        <w:t xml:space="preserve"> this year</w:t>
      </w:r>
      <w:r w:rsidR="00707E2D">
        <w:t>. Where this is the case you will</w:t>
      </w:r>
      <w:r w:rsidRPr="00BD60BD">
        <w:t xml:space="preserve"> see there is no lesson title. Once these have been developed the updated version will be uploaded to the website.</w:t>
      </w:r>
    </w:p>
    <w:p w:rsidR="00BD60BD" w:rsidRPr="00BD60BD" w:rsidRDefault="00BD60BD" w:rsidP="00BD60BD">
      <w:pPr>
        <w:pStyle w:val="NoSpacing"/>
      </w:pPr>
    </w:p>
    <w:p w:rsidR="00BD60BD" w:rsidRPr="00BD60BD" w:rsidRDefault="00BD60BD" w:rsidP="00BD60BD">
      <w:r w:rsidRPr="00BD60BD">
        <w:t>Yours sincerely,</w:t>
      </w:r>
    </w:p>
    <w:p w:rsidR="00BD60BD" w:rsidRPr="00BD60BD" w:rsidRDefault="00BD60BD" w:rsidP="00BD60BD"/>
    <w:p w:rsidR="00BD60BD" w:rsidRPr="00BD60BD" w:rsidRDefault="00BD60BD" w:rsidP="00BD60BD">
      <w:r w:rsidRPr="00BD60BD">
        <w:t>Miss H. Allan</w:t>
      </w:r>
    </w:p>
    <w:p w:rsidR="00BD60BD" w:rsidRDefault="00BD60BD" w:rsidP="00BD60BD">
      <w:r w:rsidRPr="00BD60BD">
        <w:t xml:space="preserve">PSHCE </w:t>
      </w:r>
      <w:r w:rsidR="00BD4ACD">
        <w:t>Curriculum Leader</w:t>
      </w:r>
      <w:bookmarkStart w:id="0" w:name="_GoBack"/>
      <w:bookmarkEnd w:id="0"/>
    </w:p>
    <w:p w:rsidR="00707E2D" w:rsidRDefault="00707E2D" w:rsidP="00707E2D">
      <w:pPr>
        <w:pStyle w:val="NoSpacing"/>
      </w:pPr>
    </w:p>
    <w:p w:rsidR="00BD4ACD" w:rsidRDefault="00BD4ACD" w:rsidP="00707E2D">
      <w:pPr>
        <w:pStyle w:val="NoSpacing"/>
      </w:pPr>
    </w:p>
    <w:p w:rsidR="00707E2D" w:rsidRPr="00707E2D" w:rsidRDefault="00707E2D" w:rsidP="00707E2D">
      <w:pPr>
        <w:pStyle w:val="NoSpacing"/>
      </w:pPr>
    </w:p>
    <w:tbl>
      <w:tblPr>
        <w:tblW w:w="202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1869"/>
        <w:gridCol w:w="1844"/>
        <w:gridCol w:w="1829"/>
        <w:gridCol w:w="1960"/>
        <w:gridCol w:w="1944"/>
        <w:gridCol w:w="1657"/>
        <w:gridCol w:w="42"/>
        <w:gridCol w:w="1760"/>
        <w:gridCol w:w="84"/>
        <w:gridCol w:w="1715"/>
        <w:gridCol w:w="355"/>
        <w:gridCol w:w="1443"/>
        <w:gridCol w:w="627"/>
        <w:gridCol w:w="1174"/>
        <w:gridCol w:w="896"/>
      </w:tblGrid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</w:tcPr>
          <w:p w:rsidR="00BD4ACD" w:rsidRPr="004F68F6" w:rsidRDefault="00BD4ACD" w:rsidP="00E23C05">
            <w:pPr>
              <w:pStyle w:val="NoSpacing"/>
              <w:rPr>
                <w:b/>
              </w:rPr>
            </w:pPr>
            <w:r w:rsidRPr="004F68F6">
              <w:rPr>
                <w:b/>
              </w:rPr>
              <w:t>Week</w:t>
            </w:r>
          </w:p>
        </w:tc>
        <w:tc>
          <w:tcPr>
            <w:tcW w:w="1869" w:type="dxa"/>
          </w:tcPr>
          <w:p w:rsidR="00BD4ACD" w:rsidRPr="00C057B5" w:rsidRDefault="00BD4ACD" w:rsidP="00E23C05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2B3F6" wp14:editId="392ECDDE">
                      <wp:simplePos x="0" y="0"/>
                      <wp:positionH relativeFrom="column">
                        <wp:posOffset>671517</wp:posOffset>
                      </wp:positionH>
                      <wp:positionV relativeFrom="paragraph">
                        <wp:posOffset>-524939</wp:posOffset>
                      </wp:positionV>
                      <wp:extent cx="3590925" cy="4381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4ACD" w:rsidRPr="007E173F" w:rsidRDefault="00BD4ACD" w:rsidP="00BD4AC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7E173F">
                                    <w:rPr>
                                      <w:sz w:val="36"/>
                                    </w:rPr>
                                    <w:t>PSHCE Lesson Overview 202</w:t>
                                  </w:r>
                                  <w:r>
                                    <w:rPr>
                                      <w:sz w:val="36"/>
                                    </w:rPr>
                                    <w:t>2-2023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32B3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2.9pt;margin-top:-41.35pt;width:282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" fillcolor="window" strokeweight=".5pt">
                      <v:textbox>
                        <w:txbxContent>
                          <w:p w:rsidR="00BD4ACD" w:rsidRPr="007E173F" w:rsidRDefault="00BD4ACD" w:rsidP="00BD4ACD">
                            <w:pPr>
                              <w:rPr>
                                <w:sz w:val="36"/>
                              </w:rPr>
                            </w:pPr>
                            <w:r w:rsidRPr="007E173F">
                              <w:rPr>
                                <w:sz w:val="36"/>
                              </w:rPr>
                              <w:t>PSHCE Lesson Overview 202</w:t>
                            </w:r>
                            <w:r>
                              <w:rPr>
                                <w:sz w:val="36"/>
                              </w:rPr>
                              <w:t>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7B5">
              <w:rPr>
                <w:b/>
              </w:rPr>
              <w:t>Year 7</w:t>
            </w:r>
          </w:p>
        </w:tc>
        <w:tc>
          <w:tcPr>
            <w:tcW w:w="1844" w:type="dxa"/>
          </w:tcPr>
          <w:p w:rsidR="00BD4ACD" w:rsidRPr="00C057B5" w:rsidRDefault="00BD4ACD" w:rsidP="00E23C05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8</w:t>
            </w:r>
          </w:p>
        </w:tc>
        <w:tc>
          <w:tcPr>
            <w:tcW w:w="1829" w:type="dxa"/>
          </w:tcPr>
          <w:p w:rsidR="00BD4ACD" w:rsidRPr="00C057B5" w:rsidRDefault="00BD4ACD" w:rsidP="00E23C05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9</w:t>
            </w:r>
          </w:p>
        </w:tc>
        <w:tc>
          <w:tcPr>
            <w:tcW w:w="1960" w:type="dxa"/>
          </w:tcPr>
          <w:p w:rsidR="00BD4ACD" w:rsidRPr="00C057B5" w:rsidRDefault="00BD4ACD" w:rsidP="00E23C05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10</w:t>
            </w:r>
          </w:p>
        </w:tc>
        <w:tc>
          <w:tcPr>
            <w:tcW w:w="1944" w:type="dxa"/>
          </w:tcPr>
          <w:p w:rsidR="00BD4ACD" w:rsidRPr="00C057B5" w:rsidRDefault="00BD4ACD" w:rsidP="00E23C05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11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519" w:type="dxa"/>
            <w:gridSpan w:val="6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jc w:val="center"/>
              <w:rPr>
                <w:b/>
                <w:color w:val="0070C0"/>
                <w:sz w:val="32"/>
                <w:szCs w:val="16"/>
              </w:rPr>
            </w:pPr>
            <w:r w:rsidRPr="007A760B">
              <w:rPr>
                <w:b/>
                <w:color w:val="FF0000"/>
                <w:sz w:val="32"/>
                <w:szCs w:val="16"/>
              </w:rPr>
              <w:t>Theme 1: Health &amp; Wellbeing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Who am I?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Body Image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Self-Esteem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Media and self-esteem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Identity and diversity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48F6">
              <w:rPr>
                <w:sz w:val="22"/>
                <w:szCs w:val="22"/>
              </w:rPr>
              <w:t>.9.2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Praising you, Praising me</w:t>
            </w:r>
          </w:p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Media and self-esteem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Growth mindset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Anxiety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Anxiety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Resilience</w:t>
            </w:r>
          </w:p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Learning to relax</w:t>
            </w:r>
          </w:p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Peer pressure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Screen time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Depression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Mental health introduction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Mental Health &amp; wellbeing: Attitudes to mental health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Mental Health &amp; wellbeing: New challenges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18"/>
              </w:rPr>
              <w:t>Managing tough times: change, grief and bereavement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Positivity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Who to ask for help/advice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Mental Health &amp; wellbeing: Promoting emotional wellbeing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Mental Health &amp; wellbeing: Reframing negative thinking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C64785" w:rsidRDefault="00BD4ACD" w:rsidP="00E23C05">
            <w:pPr>
              <w:pStyle w:val="NoSpacing"/>
              <w:rPr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22"/>
              </w:rPr>
              <w:t>Mental Health &amp; wellbeing: Recognising mental ill health &amp; when to get help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Perseverance and procrastination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C48F6">
              <w:rPr>
                <w:sz w:val="22"/>
                <w:szCs w:val="22"/>
              </w:rPr>
              <w:t>.10.2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Self-awareness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Mental Health &amp; wellbeing: Healthy coping strategies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C64785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Esafety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The importance of sleep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EC48F6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17.10.22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2"/>
              </w:rPr>
            </w:pPr>
            <w:r>
              <w:rPr>
                <w:rFonts w:eastAsia="Comic Sans MS" w:cs="Comic Sans MS"/>
                <w:bCs/>
                <w:sz w:val="22"/>
                <w:szCs w:val="22"/>
              </w:rPr>
              <w:t>E-safety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7A760B" w:rsidRDefault="00BD4ACD" w:rsidP="00E23C05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  <w:r>
              <w:rPr>
                <w:color w:val="000000" w:themeColor="text1"/>
                <w:sz w:val="22"/>
                <w:szCs w:val="22"/>
              </w:rPr>
              <w:t xml:space="preserve"> – selfie safety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C64785">
              <w:rPr>
                <w:sz w:val="22"/>
                <w:szCs w:val="22"/>
              </w:rPr>
              <w:t>Teenage pregnancy</w:t>
            </w:r>
            <w:r>
              <w:rPr>
                <w:sz w:val="22"/>
                <w:szCs w:val="22"/>
              </w:rPr>
              <w:t xml:space="preserve"> &amp; options</w:t>
            </w:r>
            <w:r w:rsidRPr="00B974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spacing w:line="259" w:lineRule="auto"/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Revision timetable &amp; study skills</w:t>
            </w:r>
          </w:p>
        </w:tc>
      </w:tr>
      <w:tr w:rsidR="00BD4ACD" w:rsidRPr="00B15132" w:rsidTr="00E23C05">
        <w:trPr>
          <w:gridAfter w:val="6"/>
          <w:wAfter w:w="6210" w:type="dxa"/>
          <w:trHeight w:val="284"/>
        </w:trPr>
        <w:tc>
          <w:tcPr>
            <w:tcW w:w="10519" w:type="dxa"/>
            <w:gridSpan w:val="6"/>
            <w:shd w:val="clear" w:color="auto" w:fill="D9D9D9"/>
          </w:tcPr>
          <w:p w:rsidR="00BD4ACD" w:rsidRPr="005C408A" w:rsidRDefault="00BD4ACD" w:rsidP="00E23C05">
            <w:pPr>
              <w:pStyle w:val="NoSpacing"/>
              <w:jc w:val="center"/>
              <w:rPr>
                <w:b/>
                <w:sz w:val="12"/>
              </w:rPr>
            </w:pPr>
            <w:r w:rsidRPr="00D624B8">
              <w:rPr>
                <w:b/>
                <w:sz w:val="32"/>
              </w:rPr>
              <w:t>Half Term</w:t>
            </w:r>
          </w:p>
        </w:tc>
        <w:tc>
          <w:tcPr>
            <w:tcW w:w="1699" w:type="dxa"/>
            <w:gridSpan w:val="2"/>
          </w:tcPr>
          <w:p w:rsidR="00BD4ACD" w:rsidRPr="00B15132" w:rsidRDefault="00BD4ACD" w:rsidP="00E23C05"/>
        </w:tc>
        <w:tc>
          <w:tcPr>
            <w:tcW w:w="1844" w:type="dxa"/>
            <w:gridSpan w:val="2"/>
          </w:tcPr>
          <w:p w:rsidR="00BD4ACD" w:rsidRPr="00591752" w:rsidRDefault="00BD4ACD" w:rsidP="00E23C05">
            <w:pPr>
              <w:pStyle w:val="NoSpacing"/>
              <w:rPr>
                <w:color w:val="FF0000"/>
                <w:sz w:val="20"/>
              </w:rPr>
            </w:pPr>
            <w:r w:rsidRPr="00591752">
              <w:rPr>
                <w:color w:val="FF0000"/>
              </w:rPr>
              <w:t>Consumer power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31.10.22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 xml:space="preserve">How can I commit to a healthy life? </w:t>
            </w:r>
          </w:p>
          <w:p w:rsidR="00BD4ACD" w:rsidRPr="00B974E1" w:rsidRDefault="00BD4ACD" w:rsidP="00E23C05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Living a healthy, active life and exercising.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Vaping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Alcohol awareness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 xml:space="preserve">Risk taking &amp; decision making </w:t>
            </w:r>
            <w:r>
              <w:rPr>
                <w:sz w:val="22"/>
                <w:szCs w:val="22"/>
              </w:rPr>
              <w:t xml:space="preserve"> </w:t>
            </w:r>
          </w:p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spacing w:line="259" w:lineRule="auto"/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Fertility and reproductive health (double lesson)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7.11.22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Healthy lifestyle 2: diet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Drugs &amp; the law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Vaping – is it a cause for concern &amp; and peer pressure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FGM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00B050"/>
                <w:sz w:val="22"/>
                <w:szCs w:val="22"/>
              </w:rPr>
            </w:pPr>
            <w:r>
              <w:rPr>
                <w:rFonts w:eastAsia="Comic Sans MS" w:cs="Comic Sans MS"/>
                <w:bCs/>
                <w:sz w:val="22"/>
                <w:szCs w:val="22"/>
              </w:rPr>
              <w:t>Breast Health &amp; self-examination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14.11.22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Keeping clean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Smoking &amp; second hand smoking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EF128E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health choices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Self-care: how can our bodies be affected as we grow up?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spacing w:line="259" w:lineRule="auto"/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Personal safety in the wider world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21.11.22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Puberty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Contraception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rPr>
                <w:color w:val="FF0000"/>
                <w:sz w:val="22"/>
                <w:szCs w:val="22"/>
              </w:rPr>
            </w:pPr>
            <w:r w:rsidRPr="00437CCB">
              <w:rPr>
                <w:sz w:val="22"/>
                <w:szCs w:val="22"/>
              </w:rPr>
              <w:t>Self-care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FC1628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FC1628">
              <w:rPr>
                <w:sz w:val="22"/>
                <w:szCs w:val="22"/>
              </w:rPr>
              <w:t>Drugs: their risks and the law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0C5058" w:rsidRDefault="00BD4ACD" w:rsidP="00E23C05">
            <w:pPr>
              <w:pStyle w:val="NoSpacing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Child on child abuse &amp; sexual harassment in schools</w:t>
            </w:r>
          </w:p>
        </w:tc>
      </w:tr>
      <w:tr w:rsidR="00BD4ACD" w:rsidRPr="00B15132" w:rsidTr="00E23C05">
        <w:trPr>
          <w:gridAfter w:val="10"/>
          <w:wAfter w:w="9753" w:type="dxa"/>
          <w:trHeight w:val="219"/>
        </w:trPr>
        <w:tc>
          <w:tcPr>
            <w:tcW w:w="1073" w:type="dxa"/>
            <w:shd w:val="clear" w:color="auto" w:fill="FBE4D5" w:themeFill="accent2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28.11.22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Periods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STIs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changing adolescent body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</w:t>
            </w:r>
            <w:r w:rsidRPr="00B974E1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child</w:t>
            </w:r>
            <w:r w:rsidRPr="00B974E1">
              <w:rPr>
                <w:sz w:val="22"/>
                <w:szCs w:val="22"/>
              </w:rPr>
              <w:t xml:space="preserve"> abuse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7030A0"/>
                <w:sz w:val="22"/>
                <w:szCs w:val="22"/>
              </w:rPr>
            </w:pPr>
            <w:r w:rsidRPr="00B974E1">
              <w:rPr>
                <w:b/>
                <w:color w:val="7030A0"/>
                <w:sz w:val="22"/>
                <w:szCs w:val="22"/>
              </w:rPr>
              <w:t>Mock Exams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5.12.22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Reproduction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Personal Safety and First Aid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rmalWeb"/>
              <w:spacing w:line="259" w:lineRule="auto"/>
              <w:rPr>
                <w:rFonts w:ascii="Gill Sans MT" w:eastAsia="Comic Sans MS" w:hAnsi="Gill Sans MT" w:cs="Comic Sans MS"/>
                <w:bCs/>
                <w:color w:val="000000" w:themeColor="text1"/>
                <w:sz w:val="22"/>
                <w:szCs w:val="22"/>
              </w:rPr>
            </w:pPr>
            <w:r w:rsidRPr="00B974E1">
              <w:rPr>
                <w:rFonts w:ascii="Gill Sans MT" w:eastAsia="Comic Sans MS" w:hAnsi="Gill Sans MT" w:cs="Comic Sans MS"/>
                <w:bCs/>
                <w:sz w:val="22"/>
                <w:szCs w:val="22"/>
              </w:rPr>
              <w:t>Personal Safety and First Aid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First Aid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7030A0"/>
                <w:sz w:val="22"/>
                <w:szCs w:val="22"/>
              </w:rPr>
            </w:pPr>
            <w:r w:rsidRPr="00B974E1">
              <w:rPr>
                <w:b/>
                <w:color w:val="7030A0"/>
                <w:sz w:val="22"/>
                <w:szCs w:val="22"/>
              </w:rPr>
              <w:t>Mock Exams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12.12.22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Personal Safety</w:t>
            </w:r>
            <w:r>
              <w:rPr>
                <w:sz w:val="22"/>
                <w:szCs w:val="22"/>
              </w:rPr>
              <w:t xml:space="preserve"> – first aid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rmalWeb"/>
              <w:spacing w:line="259" w:lineRule="auto"/>
              <w:rPr>
                <w:rFonts w:ascii="Gill Sans MT" w:eastAsia="Comic Sans MS" w:hAnsi="Gill Sans MT" w:cs="Comic Sans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eastAsia="Comic Sans MS" w:hAnsi="Gill Sans MT" w:cs="Comic Sans MS"/>
                <w:bCs/>
                <w:sz w:val="22"/>
                <w:szCs w:val="22"/>
              </w:rPr>
              <w:t>Mindfulness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rmalWeb"/>
              <w:spacing w:line="259" w:lineRule="auto"/>
              <w:rPr>
                <w:rFonts w:ascii="Gill Sans MT" w:eastAsia="Comic Sans MS" w:hAnsi="Gill Sans MT" w:cs="Comic Sans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eastAsia="Comic Sans MS" w:hAnsi="Gill Sans MT" w:cs="Comic Sans MS"/>
                <w:bCs/>
                <w:sz w:val="22"/>
                <w:szCs w:val="22"/>
              </w:rPr>
              <w:t>Mindfulness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BD4ACD" w:rsidRPr="00FC1628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Mindfulness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7030A0"/>
                <w:sz w:val="22"/>
                <w:szCs w:val="22"/>
              </w:rPr>
            </w:pPr>
            <w:r w:rsidRPr="00B974E1">
              <w:rPr>
                <w:b/>
                <w:color w:val="7030A0"/>
                <w:sz w:val="22"/>
                <w:szCs w:val="22"/>
              </w:rPr>
              <w:t>Mock Exams</w:t>
            </w:r>
          </w:p>
        </w:tc>
      </w:tr>
      <w:tr w:rsidR="00BD4ACD" w:rsidRPr="00B15132" w:rsidTr="00E23C05">
        <w:trPr>
          <w:gridAfter w:val="6"/>
          <w:wAfter w:w="6210" w:type="dxa"/>
        </w:trPr>
        <w:tc>
          <w:tcPr>
            <w:tcW w:w="10519" w:type="dxa"/>
            <w:gridSpan w:val="6"/>
            <w:shd w:val="clear" w:color="auto" w:fill="BFBFBF"/>
          </w:tcPr>
          <w:p w:rsidR="00BD4ACD" w:rsidRPr="00404ED0" w:rsidRDefault="00BD4ACD" w:rsidP="00E23C05">
            <w:pPr>
              <w:pStyle w:val="NoSpacing"/>
              <w:jc w:val="center"/>
              <w:rPr>
                <w:b/>
                <w:color w:val="FF0000"/>
                <w:sz w:val="18"/>
                <w:szCs w:val="18"/>
              </w:rPr>
            </w:pPr>
            <w:r w:rsidRPr="00D624B8">
              <w:rPr>
                <w:b/>
                <w:color w:val="0D0D0D" w:themeColor="text1" w:themeTint="F2"/>
                <w:sz w:val="32"/>
                <w:szCs w:val="18"/>
              </w:rPr>
              <w:t>Christmas Holiday</w:t>
            </w:r>
          </w:p>
        </w:tc>
        <w:tc>
          <w:tcPr>
            <w:tcW w:w="1699" w:type="dxa"/>
            <w:gridSpan w:val="2"/>
          </w:tcPr>
          <w:p w:rsidR="00BD4ACD" w:rsidRPr="00B15132" w:rsidRDefault="00BD4ACD" w:rsidP="00E23C05"/>
        </w:tc>
        <w:tc>
          <w:tcPr>
            <w:tcW w:w="1844" w:type="dxa"/>
            <w:gridSpan w:val="2"/>
          </w:tcPr>
          <w:p w:rsidR="00BD4ACD" w:rsidRPr="008B0E36" w:rsidRDefault="00BD4ACD" w:rsidP="00E23C05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8B0E36">
              <w:rPr>
                <w:b/>
                <w:color w:val="00B050"/>
                <w:sz w:val="18"/>
                <w:szCs w:val="18"/>
              </w:rPr>
              <w:t>Careers – which jobs?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519" w:type="dxa"/>
            <w:gridSpan w:val="6"/>
            <w:shd w:val="clear" w:color="auto" w:fill="E2EFD9" w:themeFill="accent6" w:themeFillTint="33"/>
          </w:tcPr>
          <w:p w:rsidR="00BD4ACD" w:rsidRPr="007A760B" w:rsidRDefault="00BD4ACD" w:rsidP="00E23C05">
            <w:pPr>
              <w:pStyle w:val="NoSpacing"/>
              <w:jc w:val="center"/>
              <w:rPr>
                <w:b/>
                <w:color w:val="00B050"/>
                <w:sz w:val="32"/>
                <w:szCs w:val="32"/>
              </w:rPr>
            </w:pPr>
            <w:r w:rsidRPr="007A760B">
              <w:rPr>
                <w:b/>
                <w:color w:val="FF0000"/>
                <w:sz w:val="32"/>
                <w:szCs w:val="32"/>
              </w:rPr>
              <w:t>Theme 2: Relationships</w:t>
            </w:r>
            <w:r>
              <w:rPr>
                <w:b/>
                <w:color w:val="FF0000"/>
                <w:sz w:val="32"/>
                <w:szCs w:val="32"/>
              </w:rPr>
              <w:t xml:space="preserve"> &amp; Identity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3.1.23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9.1.23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354C4D" w:rsidRDefault="00BD4ACD" w:rsidP="00E23C05">
            <w:pPr>
              <w:rPr>
                <w:sz w:val="20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16.1.23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bCs/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 xml:space="preserve">Maintaining </w:t>
            </w:r>
            <w:r w:rsidRPr="00B974E1">
              <w:rPr>
                <w:bCs/>
                <w:sz w:val="22"/>
                <w:szCs w:val="20"/>
              </w:rPr>
              <w:t xml:space="preserve">genuine friendships and </w:t>
            </w:r>
          </w:p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bCs/>
                <w:sz w:val="22"/>
                <w:szCs w:val="20"/>
              </w:rPr>
              <w:t>avoiding toxic ones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0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</w:rPr>
              <w:t>Romance, love, new feelings and teen relationships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5C1273" w:rsidRDefault="00BD4ACD" w:rsidP="00E23C05">
            <w:pPr>
              <w:rPr>
                <w:sz w:val="22"/>
                <w:szCs w:val="20"/>
              </w:rPr>
            </w:pPr>
            <w:r w:rsidRPr="005C1273">
              <w:rPr>
                <w:sz w:val="22"/>
                <w:szCs w:val="20"/>
              </w:rPr>
              <w:t>Managing Conflict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Consent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Bullying &amp; body shaming – relationships with ourselves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23.1.23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spacing w:before="100" w:beforeAutospacing="1" w:after="100" w:afterAutospacing="1"/>
              <w:rPr>
                <w:rFonts w:eastAsia="Comic Sans MS" w:cs="Comic Sans MS"/>
                <w:bCs/>
                <w:sz w:val="22"/>
                <w:szCs w:val="20"/>
                <w:lang w:eastAsia="en-GB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  <w:lang w:eastAsia="en-GB"/>
              </w:rPr>
              <w:t>Families and different long term commitments (marriage / civil partnerships) what are the different types and does it matter what kind of family I have?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Domestic conflict &amp; running away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Recognising healthy and abusive relationships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Harassment &amp; Stalking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Same-sex relationships</w:t>
            </w:r>
          </w:p>
        </w:tc>
      </w:tr>
      <w:tr w:rsidR="00BD4ACD" w:rsidRPr="00B15132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30.1.23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0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</w:rPr>
              <w:t>Positive &amp; safe relationships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Forced marriage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Coercive &amp; controlling relationships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Relationship abuse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Sexual harassment &amp; rape</w:t>
            </w:r>
          </w:p>
        </w:tc>
      </w:tr>
      <w:tr w:rsidR="00BD4ACD" w:rsidRPr="00A921DC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6.2.23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0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</w:rPr>
              <w:t>Bullying or banter – what is and what isn’t acceptable? (Peer on peer abuse)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LGBTQAI+ - Trans &amp; gender issues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Coercive and control documentary lesson</w:t>
            </w:r>
          </w:p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Roles &amp; responsibilities of parents &amp; who can you trust.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What is good sex?</w:t>
            </w:r>
          </w:p>
        </w:tc>
      </w:tr>
      <w:tr w:rsidR="00BD4ACD" w:rsidRPr="00B15132" w:rsidTr="00E23C05">
        <w:trPr>
          <w:gridAfter w:val="10"/>
          <w:wAfter w:w="9753" w:type="dxa"/>
          <w:trHeight w:val="165"/>
        </w:trPr>
        <w:tc>
          <w:tcPr>
            <w:tcW w:w="10519" w:type="dxa"/>
            <w:gridSpan w:val="6"/>
            <w:shd w:val="clear" w:color="auto" w:fill="D9D9D9"/>
          </w:tcPr>
          <w:p w:rsidR="00BD4ACD" w:rsidRPr="009200BE" w:rsidRDefault="00BD4ACD" w:rsidP="00E23C0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74E1">
              <w:rPr>
                <w:b/>
                <w:sz w:val="32"/>
                <w:szCs w:val="20"/>
              </w:rPr>
              <w:t>Half Term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20.2.23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How can we prevent online bullying? (Cyber-bullying)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Child sexual exploitation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The characteristics of positive and healthy friendships) including: trust, respect, honesty, kindness, generosity, boundaries, privacy, consent and the management of conflict, reconciliation and ending relationships.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Porn vs reality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27.2.23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Managing peer pressure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relationships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sexism &amp; sexual harassment and how can it impact our wellbeing?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Sexting &amp; the law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Coercive &amp; controlling relationships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6.3.23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Summary lesson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Summary lesson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people and role models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Coercive and control documentary lesson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13.3.23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Identity: what does it mean to be a British citizen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Identity: what does it mean to be a British citizen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expectations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Coercive and control documentary lesson</w:t>
            </w:r>
          </w:p>
        </w:tc>
      </w:tr>
      <w:tr w:rsidR="00BD4ACD" w:rsidRPr="00C057B5" w:rsidTr="00E23C05">
        <w:trPr>
          <w:gridAfter w:val="10"/>
          <w:wAfter w:w="9753" w:type="dxa"/>
          <w:trHeight w:val="70"/>
        </w:trPr>
        <w:tc>
          <w:tcPr>
            <w:tcW w:w="1073" w:type="dxa"/>
            <w:shd w:val="clear" w:color="auto" w:fill="E2EFD9" w:themeFill="accent6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20.3.23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Identity 2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Identity 2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Coercive and control documentary lesson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Toxic relationships</w:t>
            </w:r>
          </w:p>
        </w:tc>
      </w:tr>
      <w:tr w:rsidR="00BD4ACD" w:rsidRPr="00C057B5" w:rsidTr="00E23C05">
        <w:trPr>
          <w:gridAfter w:val="10"/>
          <w:wAfter w:w="9753" w:type="dxa"/>
          <w:trHeight w:val="70"/>
        </w:trPr>
        <w:tc>
          <w:tcPr>
            <w:tcW w:w="1073" w:type="dxa"/>
            <w:shd w:val="clear" w:color="auto" w:fill="E2EFD9" w:themeFill="accent6" w:themeFillTint="33"/>
          </w:tcPr>
          <w:p w:rsidR="00BD4ACD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27.3.23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BD4ACD" w:rsidRPr="009200BE" w:rsidRDefault="00BD4ACD" w:rsidP="00E23C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 Part 1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BD4ACD" w:rsidRPr="009200BE" w:rsidRDefault="00BD4ACD" w:rsidP="00E23C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 Part 1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BD4ACD" w:rsidRPr="009200BE" w:rsidRDefault="00BD4ACD" w:rsidP="00E23C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BD4ACD" w:rsidRPr="009200BE" w:rsidRDefault="00BD4ACD" w:rsidP="00E23C05">
            <w:pPr>
              <w:pStyle w:val="NoSpacing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Coercive and control documentary lesson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BD4ACD" w:rsidRPr="009200BE" w:rsidRDefault="00BD4ACD" w:rsidP="00E23C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skills to aid GCSE revision</w:t>
            </w:r>
          </w:p>
        </w:tc>
      </w:tr>
      <w:tr w:rsidR="00BD4ACD" w:rsidRPr="00B15132" w:rsidTr="00E23C05">
        <w:trPr>
          <w:gridAfter w:val="1"/>
          <w:wAfter w:w="896" w:type="dxa"/>
          <w:trHeight w:val="78"/>
        </w:trPr>
        <w:tc>
          <w:tcPr>
            <w:tcW w:w="10519" w:type="dxa"/>
            <w:gridSpan w:val="6"/>
            <w:shd w:val="clear" w:color="auto" w:fill="D9D9D9"/>
          </w:tcPr>
          <w:p w:rsidR="00BD4ACD" w:rsidRPr="00B974E1" w:rsidRDefault="00BD4ACD" w:rsidP="00E23C0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74E1">
              <w:rPr>
                <w:b/>
                <w:sz w:val="32"/>
                <w:szCs w:val="20"/>
              </w:rPr>
              <w:t>Easter Holiday</w:t>
            </w:r>
          </w:p>
        </w:tc>
        <w:tc>
          <w:tcPr>
            <w:tcW w:w="1657" w:type="dxa"/>
          </w:tcPr>
          <w:p w:rsidR="00BD4ACD" w:rsidRPr="00B15132" w:rsidRDefault="00BD4ACD" w:rsidP="00E23C05"/>
        </w:tc>
        <w:tc>
          <w:tcPr>
            <w:tcW w:w="1802" w:type="dxa"/>
            <w:gridSpan w:val="2"/>
          </w:tcPr>
          <w:p w:rsidR="00BD4ACD" w:rsidRPr="00B15132" w:rsidRDefault="00BD4ACD" w:rsidP="00E23C05"/>
        </w:tc>
        <w:tc>
          <w:tcPr>
            <w:tcW w:w="1799" w:type="dxa"/>
            <w:gridSpan w:val="2"/>
          </w:tcPr>
          <w:p w:rsidR="00BD4ACD" w:rsidRPr="00B15132" w:rsidRDefault="00BD4ACD" w:rsidP="00E23C05"/>
        </w:tc>
        <w:tc>
          <w:tcPr>
            <w:tcW w:w="1798" w:type="dxa"/>
            <w:gridSpan w:val="2"/>
          </w:tcPr>
          <w:p w:rsidR="00BD4ACD" w:rsidRPr="00B15132" w:rsidRDefault="00BD4ACD" w:rsidP="00E23C05"/>
        </w:tc>
        <w:tc>
          <w:tcPr>
            <w:tcW w:w="1801" w:type="dxa"/>
            <w:gridSpan w:val="2"/>
            <w:shd w:val="clear" w:color="auto" w:fill="FFFFFF"/>
          </w:tcPr>
          <w:p w:rsidR="00BD4ACD" w:rsidRPr="003453F4" w:rsidRDefault="00BD4ACD" w:rsidP="00E23C05">
            <w:pPr>
              <w:pStyle w:val="NoSpacing"/>
              <w:rPr>
                <w:b/>
                <w:sz w:val="18"/>
                <w:szCs w:val="18"/>
              </w:rPr>
            </w:pPr>
            <w:r w:rsidRPr="00DE6A26">
              <w:rPr>
                <w:b/>
                <w:color w:val="FF0000"/>
                <w:sz w:val="18"/>
                <w:szCs w:val="18"/>
              </w:rPr>
              <w:t>Women’s rights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519" w:type="dxa"/>
            <w:gridSpan w:val="6"/>
            <w:shd w:val="clear" w:color="auto" w:fill="DEEAF6" w:themeFill="accent1" w:themeFillTint="33"/>
          </w:tcPr>
          <w:p w:rsidR="00BD4ACD" w:rsidRPr="007A760B" w:rsidRDefault="00BD4ACD" w:rsidP="00E23C05">
            <w:pPr>
              <w:pStyle w:val="NoSpacing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Theme 3: Living in the Wider World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17.4.23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color w:val="0070C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Wants &amp; Needs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Plastic Pollution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Human rights - trafficking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bCs/>
                <w:sz w:val="22"/>
                <w:szCs w:val="22"/>
              </w:rPr>
              <w:t>Career Planning: How do I choose a career that’s right for me?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for the exam period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24.4.23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Being an ethical consumer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D60BD" w:rsidRDefault="00BD4ACD" w:rsidP="00E23C05">
            <w:pPr>
              <w:pStyle w:val="NoSpacing"/>
              <w:rPr>
                <w:color w:val="00B050"/>
                <w:sz w:val="22"/>
                <w:szCs w:val="22"/>
              </w:rPr>
            </w:pPr>
            <w:r w:rsidRPr="00BD60BD">
              <w:rPr>
                <w:sz w:val="22"/>
                <w:szCs w:val="22"/>
              </w:rPr>
              <w:t>Living sustainably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Knife crime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can we keep financially savvy &amp; avoid debt?</w:t>
            </w:r>
          </w:p>
        </w:tc>
      </w:tr>
      <w:tr w:rsidR="00BD4ACD" w:rsidRPr="00C057B5" w:rsidTr="00E23C05">
        <w:trPr>
          <w:gridAfter w:val="10"/>
          <w:wAfter w:w="9753" w:type="dxa"/>
          <w:trHeight w:val="466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1.5.23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Unicef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Extinction Rebellion &amp; climate change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Gangs &amp; teen crime</w:t>
            </w:r>
          </w:p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lines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Income and Tax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8.5.23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Prejudice &amp; Discrimination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Hate crime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Values: Individual Liberty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Borrowing Money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15.5.23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What are Protected Characterisitcs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rFonts w:eastAsia="Comic Sans MS" w:cs="Comic Sans MS"/>
                <w:bCs/>
                <w:sz w:val="22"/>
                <w:szCs w:val="22"/>
              </w:rPr>
              <w:t>Entrepreneurs</w:t>
            </w:r>
            <w:r w:rsidRPr="00B974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does the Law deal with Young Offenders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Values: Democracy &amp; Rule of Law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Fake News and Critical Thinking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22.5.23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Protected characteristics: </w:t>
            </w:r>
            <w:r w:rsidRPr="00B974E1">
              <w:rPr>
                <w:sz w:val="22"/>
                <w:szCs w:val="22"/>
              </w:rPr>
              <w:t>Disability &amp; discrimination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can boosting our self-confidence boost our achievement?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Values: Tolerance &amp; Mutual Respect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Globalisation</w:t>
            </w:r>
          </w:p>
        </w:tc>
      </w:tr>
      <w:tr w:rsidR="00BD4ACD" w:rsidRPr="00B15132" w:rsidTr="00E23C05">
        <w:trPr>
          <w:trHeight w:val="165"/>
        </w:trPr>
        <w:tc>
          <w:tcPr>
            <w:tcW w:w="10519" w:type="dxa"/>
            <w:gridSpan w:val="6"/>
            <w:shd w:val="clear" w:color="auto" w:fill="D9D9D9"/>
          </w:tcPr>
          <w:p w:rsidR="00BD4ACD" w:rsidRPr="00185199" w:rsidRDefault="00BD4ACD" w:rsidP="00E23C05">
            <w:pPr>
              <w:pStyle w:val="NoSpacing"/>
              <w:jc w:val="center"/>
              <w:rPr>
                <w:b/>
                <w:color w:val="00B050"/>
                <w:sz w:val="18"/>
                <w:szCs w:val="18"/>
              </w:rPr>
            </w:pPr>
            <w:r w:rsidRPr="00D624B8">
              <w:rPr>
                <w:b/>
                <w:sz w:val="32"/>
              </w:rPr>
              <w:t>Half Term</w:t>
            </w:r>
          </w:p>
        </w:tc>
        <w:tc>
          <w:tcPr>
            <w:tcW w:w="1699" w:type="dxa"/>
            <w:gridSpan w:val="2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BD4ACD" w:rsidRPr="009200BE" w:rsidRDefault="00BD4ACD" w:rsidP="00E23C05">
            <w:pPr>
              <w:pStyle w:val="NoSpacing"/>
              <w:rPr>
                <w:sz w:val="20"/>
                <w:szCs w:val="20"/>
              </w:rPr>
            </w:pPr>
            <w:r w:rsidRPr="009200BE">
              <w:rPr>
                <w:sz w:val="20"/>
                <w:szCs w:val="20"/>
              </w:rPr>
              <w:t>Identity 2</w:t>
            </w:r>
          </w:p>
        </w:tc>
        <w:tc>
          <w:tcPr>
            <w:tcW w:w="2070" w:type="dxa"/>
            <w:gridSpan w:val="2"/>
          </w:tcPr>
          <w:p w:rsidR="00BD4ACD" w:rsidRPr="00B15132" w:rsidRDefault="00BD4ACD" w:rsidP="00E23C05">
            <w:pPr>
              <w:spacing w:after="160" w:line="259" w:lineRule="auto"/>
            </w:pPr>
          </w:p>
        </w:tc>
        <w:tc>
          <w:tcPr>
            <w:tcW w:w="2070" w:type="dxa"/>
            <w:gridSpan w:val="2"/>
          </w:tcPr>
          <w:p w:rsidR="00BD4ACD" w:rsidRPr="00B15132" w:rsidRDefault="00BD4ACD" w:rsidP="00E23C05">
            <w:pPr>
              <w:spacing w:after="160" w:line="259" w:lineRule="auto"/>
            </w:pPr>
          </w:p>
        </w:tc>
        <w:tc>
          <w:tcPr>
            <w:tcW w:w="2070" w:type="dxa"/>
            <w:gridSpan w:val="2"/>
          </w:tcPr>
          <w:p w:rsidR="00BD4ACD" w:rsidRPr="00595AC7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595AC7">
              <w:rPr>
                <w:sz w:val="22"/>
                <w:szCs w:val="22"/>
              </w:rPr>
              <w:t>Globalisation</w:t>
            </w: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5.6.23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color w:val="0070C0"/>
                <w:sz w:val="22"/>
                <w:szCs w:val="22"/>
              </w:rPr>
            </w:pPr>
            <w:r w:rsidRPr="0047392A">
              <w:rPr>
                <w:sz w:val="22"/>
                <w:szCs w:val="22"/>
              </w:rPr>
              <w:t>Homophobia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Pride month &amp; homophobia</w:t>
            </w:r>
            <w:r>
              <w:rPr>
                <w:sz w:val="22"/>
                <w:szCs w:val="22"/>
              </w:rPr>
              <w:t xml:space="preserve"> – link to protected characteristics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Exams</w:t>
            </w:r>
          </w:p>
        </w:tc>
        <w:tc>
          <w:tcPr>
            <w:tcW w:w="1944" w:type="dxa"/>
            <w:shd w:val="clear" w:color="auto" w:fill="000000" w:themeFill="text1"/>
          </w:tcPr>
          <w:p w:rsidR="00BD4ACD" w:rsidRPr="00595AC7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12.6.23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How does democracy work in Britain?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Protected characteristics &amp; British values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7C25E2" w:rsidRDefault="00BD4ACD" w:rsidP="00E23C05">
            <w:pPr>
              <w:tabs>
                <w:tab w:val="left" w:pos="2355"/>
              </w:tabs>
            </w:pPr>
            <w:r w:rsidRPr="00B974E1">
              <w:rPr>
                <w:bCs/>
                <w:sz w:val="22"/>
                <w:szCs w:val="22"/>
              </w:rPr>
              <w:t>Taking control of my future – Personal development planning</w:t>
            </w:r>
          </w:p>
          <w:p w:rsidR="00BD4ACD" w:rsidRPr="00B974E1" w:rsidRDefault="00BD4ACD" w:rsidP="00E23C05">
            <w:pPr>
              <w:pStyle w:val="NoSpacing"/>
              <w:rPr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Exams</w:t>
            </w:r>
          </w:p>
        </w:tc>
        <w:tc>
          <w:tcPr>
            <w:tcW w:w="1944" w:type="dxa"/>
            <w:shd w:val="clear" w:color="auto" w:fill="000000" w:themeFill="text1"/>
          </w:tcPr>
          <w:p w:rsidR="00BD4ACD" w:rsidRPr="00C057B5" w:rsidRDefault="00BD4ACD" w:rsidP="00E23C05">
            <w:pPr>
              <w:pStyle w:val="NoSpacing"/>
            </w:pPr>
          </w:p>
        </w:tc>
      </w:tr>
      <w:tr w:rsidR="00BD4ACD" w:rsidRPr="00FA2B2F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FA2B2F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19.6.23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0070C0"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What are British Values?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Democracy in Britain &amp; other types of political systems around the world.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color w:val="0070C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Protected Characteristics and why do we call them ‘protected’?</w:t>
            </w:r>
          </w:p>
        </w:tc>
        <w:tc>
          <w:tcPr>
            <w:tcW w:w="1944" w:type="dxa"/>
            <w:shd w:val="clear" w:color="auto" w:fill="000000" w:themeFill="text1"/>
          </w:tcPr>
          <w:p w:rsidR="00BD4ACD" w:rsidRPr="00FA2B2F" w:rsidRDefault="00BD4ACD" w:rsidP="00E23C05">
            <w:pPr>
              <w:pStyle w:val="NoSpacing"/>
            </w:pP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26.6.23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FF0000"/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color w:val="0070C0"/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944" w:type="dxa"/>
            <w:shd w:val="clear" w:color="auto" w:fill="000000" w:themeFill="text1"/>
          </w:tcPr>
          <w:p w:rsidR="00BD4ACD" w:rsidRPr="00C057B5" w:rsidRDefault="00BD4ACD" w:rsidP="00E23C05">
            <w:pPr>
              <w:pStyle w:val="NoSpacing"/>
            </w:pP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3.7.23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 &amp; Religion</w:t>
            </w:r>
          </w:p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The legal system and other authorities in Britain</w:t>
            </w:r>
            <w:r w:rsidRPr="00B974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Gaming &amp; gambling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color w:val="0070C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Overt &amp; covert racism</w:t>
            </w:r>
          </w:p>
        </w:tc>
        <w:tc>
          <w:tcPr>
            <w:tcW w:w="1944" w:type="dxa"/>
            <w:shd w:val="clear" w:color="auto" w:fill="000000" w:themeFill="text1"/>
          </w:tcPr>
          <w:p w:rsidR="00BD4ACD" w:rsidRPr="00C057B5" w:rsidRDefault="00BD4ACD" w:rsidP="00E23C05">
            <w:pPr>
              <w:pStyle w:val="NoSpacing"/>
            </w:pP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Pr="004F68F6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10.7.23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What are Protected Characterisitcs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stereotypes, in particular stereotypes based on sex, gender, race, religion, sexual orientation or disability, can cause damage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Gaming &amp; gambling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FFC000"/>
                <w:sz w:val="22"/>
                <w:szCs w:val="22"/>
              </w:rPr>
            </w:pPr>
            <w:r>
              <w:t>How to recognise online grooming in different forms, e.g. in relation to sexual or financial exploitation, extremism and radicalisation</w:t>
            </w:r>
          </w:p>
        </w:tc>
        <w:tc>
          <w:tcPr>
            <w:tcW w:w="1944" w:type="dxa"/>
            <w:shd w:val="clear" w:color="auto" w:fill="000000" w:themeFill="text1"/>
          </w:tcPr>
          <w:p w:rsidR="00BD4ACD" w:rsidRPr="00C057B5" w:rsidRDefault="00BD4ACD" w:rsidP="00E23C05">
            <w:pPr>
              <w:pStyle w:val="NoSpacing"/>
            </w:pPr>
          </w:p>
        </w:tc>
      </w:tr>
      <w:tr w:rsidR="00BD4ACD" w:rsidRPr="00C057B5" w:rsidTr="00E23C05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BD4ACD" w:rsidRDefault="00BD4ACD" w:rsidP="00E23C0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17.7.23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 xml:space="preserve">Mindfulness part 2: Mindful colouring 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Mindfulness part 2: Mindful colouring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BD4ACD" w:rsidRPr="00B974E1" w:rsidRDefault="00BD4ACD" w:rsidP="00E23C05">
            <w:pPr>
              <w:pStyle w:val="NoSpacing"/>
              <w:rPr>
                <w:b/>
                <w:color w:val="FFC000"/>
                <w:sz w:val="22"/>
                <w:szCs w:val="22"/>
              </w:rPr>
            </w:pPr>
            <w:r>
              <w:t>Equality of opportunity in careers and life choices, and different types and patterns of work</w:t>
            </w:r>
          </w:p>
        </w:tc>
        <w:tc>
          <w:tcPr>
            <w:tcW w:w="1944" w:type="dxa"/>
            <w:shd w:val="clear" w:color="auto" w:fill="000000" w:themeFill="text1"/>
          </w:tcPr>
          <w:p w:rsidR="00BD4ACD" w:rsidRPr="00C057B5" w:rsidRDefault="00BD4ACD" w:rsidP="00E23C05">
            <w:pPr>
              <w:pStyle w:val="NoSpacing"/>
            </w:pPr>
          </w:p>
        </w:tc>
      </w:tr>
    </w:tbl>
    <w:p w:rsidR="00BD60BD" w:rsidRPr="00BD60BD" w:rsidRDefault="00BD60BD" w:rsidP="00BD60BD">
      <w:pPr>
        <w:pStyle w:val="NoSpacing"/>
      </w:pPr>
    </w:p>
    <w:p w:rsidR="00F3683D" w:rsidRDefault="00BD4ACD"/>
    <w:sectPr w:rsidR="00F36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E1" w:rsidRDefault="00B974E1" w:rsidP="00B974E1">
      <w:r>
        <w:separator/>
      </w:r>
    </w:p>
  </w:endnote>
  <w:endnote w:type="continuationSeparator" w:id="0">
    <w:p w:rsidR="00B974E1" w:rsidRDefault="00B974E1" w:rsidP="00B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E1" w:rsidRDefault="00B974E1" w:rsidP="00B974E1">
      <w:r>
        <w:separator/>
      </w:r>
    </w:p>
  </w:footnote>
  <w:footnote w:type="continuationSeparator" w:id="0">
    <w:p w:rsidR="00B974E1" w:rsidRDefault="00B974E1" w:rsidP="00B9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492B"/>
    <w:multiLevelType w:val="hybridMultilevel"/>
    <w:tmpl w:val="72A24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3F"/>
    <w:rsid w:val="00102750"/>
    <w:rsid w:val="002715A2"/>
    <w:rsid w:val="00366241"/>
    <w:rsid w:val="00415A7B"/>
    <w:rsid w:val="004A4F59"/>
    <w:rsid w:val="005337E3"/>
    <w:rsid w:val="006533DD"/>
    <w:rsid w:val="00654FBE"/>
    <w:rsid w:val="006C1556"/>
    <w:rsid w:val="006F5F43"/>
    <w:rsid w:val="00707E2D"/>
    <w:rsid w:val="007525E7"/>
    <w:rsid w:val="007A760B"/>
    <w:rsid w:val="007C13DE"/>
    <w:rsid w:val="007D0EA7"/>
    <w:rsid w:val="007E173F"/>
    <w:rsid w:val="007F2ED1"/>
    <w:rsid w:val="0081256F"/>
    <w:rsid w:val="008E6C92"/>
    <w:rsid w:val="009200BE"/>
    <w:rsid w:val="00940FBF"/>
    <w:rsid w:val="00A0281E"/>
    <w:rsid w:val="00A8211D"/>
    <w:rsid w:val="00A87B84"/>
    <w:rsid w:val="00AB352F"/>
    <w:rsid w:val="00AC1956"/>
    <w:rsid w:val="00B8539A"/>
    <w:rsid w:val="00B930DD"/>
    <w:rsid w:val="00B974E1"/>
    <w:rsid w:val="00BA6FB9"/>
    <w:rsid w:val="00BD4ACD"/>
    <w:rsid w:val="00BD60BD"/>
    <w:rsid w:val="00C62B88"/>
    <w:rsid w:val="00C64785"/>
    <w:rsid w:val="00C93266"/>
    <w:rsid w:val="00D305FF"/>
    <w:rsid w:val="00D44B39"/>
    <w:rsid w:val="00D624B8"/>
    <w:rsid w:val="00DB4712"/>
    <w:rsid w:val="00E8513E"/>
    <w:rsid w:val="00EA3D62"/>
    <w:rsid w:val="00EC48F6"/>
    <w:rsid w:val="00F0397D"/>
    <w:rsid w:val="00F31338"/>
    <w:rsid w:val="00FC1628"/>
    <w:rsid w:val="00FD38F5"/>
    <w:rsid w:val="00FE0ECF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AD35D-C465-44A7-A776-376FE84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E173F"/>
    <w:pPr>
      <w:spacing w:after="0" w:line="240" w:lineRule="auto"/>
    </w:pPr>
    <w:rPr>
      <w:rFonts w:ascii="Gill Sans MT" w:eastAsia="Calibri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73F"/>
    <w:pPr>
      <w:spacing w:after="0" w:line="240" w:lineRule="auto"/>
    </w:pPr>
    <w:rPr>
      <w:rFonts w:ascii="Gill Sans MT" w:eastAsia="Calibri" w:hAnsi="Gill Sans MT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4B3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D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7F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4E1"/>
    <w:rPr>
      <w:rFonts w:ascii="Gill Sans MT" w:eastAsia="Calibri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4E1"/>
    <w:rPr>
      <w:rFonts w:ascii="Gill Sans MT" w:eastAsia="Calibri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Allan</dc:creator>
  <cp:keywords/>
  <dc:description/>
  <cp:lastModifiedBy>Helena Allan</cp:lastModifiedBy>
  <cp:revision>2</cp:revision>
  <cp:lastPrinted>2020-09-18T09:06:00Z</cp:lastPrinted>
  <dcterms:created xsi:type="dcterms:W3CDTF">2022-09-13T14:46:00Z</dcterms:created>
  <dcterms:modified xsi:type="dcterms:W3CDTF">2022-09-13T14:46:00Z</dcterms:modified>
</cp:coreProperties>
</file>