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3C92" w:rsidRPr="00F27B81" w:rsidRDefault="00E23C92" w:rsidP="004E05B8">
      <w:pPr>
        <w:jc w:val="center"/>
        <w:rPr>
          <w:b/>
          <w:szCs w:val="20"/>
          <w:u w:val="single"/>
        </w:rPr>
      </w:pPr>
      <w:bookmarkStart w:id="0" w:name="_GoBack"/>
      <w:bookmarkEnd w:id="0"/>
      <w:r w:rsidRPr="00F27B81">
        <w:rPr>
          <w:b/>
          <w:szCs w:val="20"/>
          <w:u w:val="single"/>
        </w:rPr>
        <w:t>Swakeleys School for Girls Pupil Premium Strategy Statement</w:t>
      </w:r>
    </w:p>
    <w:p w:rsidR="00E23C92" w:rsidRDefault="00E23C92" w:rsidP="00E23C92">
      <w:pPr>
        <w:pStyle w:val="NoSpacing"/>
      </w:pPr>
    </w:p>
    <w:p w:rsidR="00E23C92" w:rsidRDefault="00E23C92" w:rsidP="00E23C92">
      <w:pPr>
        <w:pStyle w:val="NoSpacing"/>
      </w:pPr>
    </w:p>
    <w:tbl>
      <w:tblPr>
        <w:tblStyle w:val="TableGrid"/>
        <w:tblW w:w="0" w:type="auto"/>
        <w:tblLook w:val="04A0" w:firstRow="1" w:lastRow="0" w:firstColumn="1" w:lastColumn="0" w:noHBand="0" w:noVBand="1"/>
      </w:tblPr>
      <w:tblGrid>
        <w:gridCol w:w="2627"/>
        <w:gridCol w:w="2328"/>
        <w:gridCol w:w="3243"/>
        <w:gridCol w:w="2787"/>
        <w:gridCol w:w="2760"/>
        <w:gridCol w:w="1643"/>
      </w:tblGrid>
      <w:tr w:rsidR="00B90584" w:rsidRPr="00E23C92" w:rsidTr="004058BA">
        <w:tc>
          <w:tcPr>
            <w:tcW w:w="15388" w:type="dxa"/>
            <w:gridSpan w:val="6"/>
            <w:shd w:val="clear" w:color="auto" w:fill="92D050"/>
          </w:tcPr>
          <w:p w:rsidR="00B90584" w:rsidRPr="00E23C92" w:rsidRDefault="00B90584" w:rsidP="00E23C92">
            <w:pPr>
              <w:pStyle w:val="NoSpacing"/>
              <w:rPr>
                <w:b/>
              </w:rPr>
            </w:pPr>
            <w:r w:rsidRPr="00E23C92">
              <w:rPr>
                <w:b/>
              </w:rPr>
              <w:t>Summary Information</w:t>
            </w:r>
          </w:p>
        </w:tc>
      </w:tr>
      <w:tr w:rsidR="00D7620B" w:rsidTr="00B6434F">
        <w:tc>
          <w:tcPr>
            <w:tcW w:w="2627" w:type="dxa"/>
          </w:tcPr>
          <w:p w:rsidR="00D7620B" w:rsidRPr="00E23C92" w:rsidRDefault="00D7620B" w:rsidP="00E23C92">
            <w:pPr>
              <w:pStyle w:val="NoSpacing"/>
              <w:rPr>
                <w:b/>
              </w:rPr>
            </w:pPr>
            <w:r w:rsidRPr="00E23C92">
              <w:rPr>
                <w:b/>
              </w:rPr>
              <w:t xml:space="preserve">School </w:t>
            </w:r>
          </w:p>
        </w:tc>
        <w:tc>
          <w:tcPr>
            <w:tcW w:w="12761" w:type="dxa"/>
            <w:gridSpan w:val="5"/>
          </w:tcPr>
          <w:p w:rsidR="00D7620B" w:rsidRDefault="00D7620B" w:rsidP="00E23C92">
            <w:pPr>
              <w:pStyle w:val="NoSpacing"/>
            </w:pPr>
            <w:r>
              <w:t>Swakeleys School for Girls</w:t>
            </w:r>
          </w:p>
        </w:tc>
      </w:tr>
      <w:tr w:rsidR="00E23C92" w:rsidTr="00B90584">
        <w:tc>
          <w:tcPr>
            <w:tcW w:w="2627" w:type="dxa"/>
          </w:tcPr>
          <w:p w:rsidR="00E23C92" w:rsidRPr="00E23C92" w:rsidRDefault="00E23C92" w:rsidP="00E23C92">
            <w:pPr>
              <w:pStyle w:val="NoSpacing"/>
              <w:rPr>
                <w:b/>
              </w:rPr>
            </w:pPr>
            <w:r w:rsidRPr="00E23C92">
              <w:rPr>
                <w:b/>
              </w:rPr>
              <w:t xml:space="preserve">Academic year </w:t>
            </w:r>
          </w:p>
        </w:tc>
        <w:tc>
          <w:tcPr>
            <w:tcW w:w="2328" w:type="dxa"/>
          </w:tcPr>
          <w:p w:rsidR="00E23C92" w:rsidRDefault="00E23C92" w:rsidP="00E23C92">
            <w:pPr>
              <w:pStyle w:val="NoSpacing"/>
            </w:pPr>
            <w:r>
              <w:t>2018-2019</w:t>
            </w:r>
          </w:p>
        </w:tc>
        <w:tc>
          <w:tcPr>
            <w:tcW w:w="3243" w:type="dxa"/>
          </w:tcPr>
          <w:p w:rsidR="00E23C92" w:rsidRPr="00E23C92" w:rsidRDefault="00E23C92" w:rsidP="00E23C92">
            <w:pPr>
              <w:pStyle w:val="NoSpacing"/>
              <w:rPr>
                <w:b/>
              </w:rPr>
            </w:pPr>
            <w:r w:rsidRPr="00E23C92">
              <w:rPr>
                <w:b/>
              </w:rPr>
              <w:t>Total PP Budget</w:t>
            </w:r>
          </w:p>
        </w:tc>
        <w:tc>
          <w:tcPr>
            <w:tcW w:w="2787" w:type="dxa"/>
          </w:tcPr>
          <w:p w:rsidR="00E23C92" w:rsidRPr="00B90584" w:rsidRDefault="00B90584" w:rsidP="00E23C92">
            <w:pPr>
              <w:pStyle w:val="NoSpacing"/>
            </w:pPr>
            <w:r w:rsidRPr="00B90584">
              <w:rPr>
                <w:sz w:val="20"/>
                <w:szCs w:val="20"/>
              </w:rPr>
              <w:t>£286,110 (TBC)</w:t>
            </w:r>
          </w:p>
        </w:tc>
        <w:tc>
          <w:tcPr>
            <w:tcW w:w="2760" w:type="dxa"/>
          </w:tcPr>
          <w:p w:rsidR="00E23C92" w:rsidRPr="00E23C92" w:rsidRDefault="00E23C92" w:rsidP="00E23C92">
            <w:pPr>
              <w:pStyle w:val="NoSpacing"/>
              <w:rPr>
                <w:b/>
              </w:rPr>
            </w:pPr>
            <w:r w:rsidRPr="00E23C92">
              <w:rPr>
                <w:b/>
              </w:rPr>
              <w:t>Date of most recent PP review</w:t>
            </w:r>
          </w:p>
        </w:tc>
        <w:tc>
          <w:tcPr>
            <w:tcW w:w="1643" w:type="dxa"/>
          </w:tcPr>
          <w:p w:rsidR="00E23C92" w:rsidRDefault="00B90584" w:rsidP="00E23C92">
            <w:pPr>
              <w:pStyle w:val="NoSpacing"/>
            </w:pPr>
            <w:r>
              <w:t>Sept 2018</w:t>
            </w:r>
          </w:p>
        </w:tc>
      </w:tr>
      <w:tr w:rsidR="00E23C92" w:rsidTr="00B90584">
        <w:tc>
          <w:tcPr>
            <w:tcW w:w="2627" w:type="dxa"/>
          </w:tcPr>
          <w:p w:rsidR="00E23C92" w:rsidRPr="00E23C92" w:rsidRDefault="00E23C92" w:rsidP="00E23C92">
            <w:pPr>
              <w:pStyle w:val="NoSpacing"/>
              <w:rPr>
                <w:b/>
              </w:rPr>
            </w:pPr>
            <w:r>
              <w:rPr>
                <w:b/>
              </w:rPr>
              <w:t xml:space="preserve">Total number </w:t>
            </w:r>
            <w:r w:rsidRPr="00E23C92">
              <w:rPr>
                <w:b/>
              </w:rPr>
              <w:t>of pupils</w:t>
            </w:r>
          </w:p>
        </w:tc>
        <w:tc>
          <w:tcPr>
            <w:tcW w:w="2328" w:type="dxa"/>
          </w:tcPr>
          <w:p w:rsidR="00E23C92" w:rsidRDefault="00E23C92" w:rsidP="00E23C92">
            <w:pPr>
              <w:pStyle w:val="NoSpacing"/>
            </w:pPr>
            <w:r>
              <w:t>940</w:t>
            </w:r>
          </w:p>
        </w:tc>
        <w:tc>
          <w:tcPr>
            <w:tcW w:w="3243" w:type="dxa"/>
          </w:tcPr>
          <w:p w:rsidR="00E23C92" w:rsidRPr="00E23C92" w:rsidRDefault="00E23C92" w:rsidP="00E23C92">
            <w:pPr>
              <w:pStyle w:val="NoSpacing"/>
              <w:rPr>
                <w:b/>
              </w:rPr>
            </w:pPr>
            <w:r w:rsidRPr="00E23C92">
              <w:rPr>
                <w:b/>
              </w:rPr>
              <w:t>Number of pupils eligible for PP</w:t>
            </w:r>
          </w:p>
        </w:tc>
        <w:tc>
          <w:tcPr>
            <w:tcW w:w="2787" w:type="dxa"/>
          </w:tcPr>
          <w:p w:rsidR="00E23C92" w:rsidRPr="00E23C92" w:rsidRDefault="00E23C92" w:rsidP="00E23C92">
            <w:pPr>
              <w:pStyle w:val="NoSpacing"/>
            </w:pPr>
            <w:r w:rsidRPr="00E23C92">
              <w:t>306</w:t>
            </w:r>
            <w:r>
              <w:t xml:space="preserve"> (33%)</w:t>
            </w:r>
          </w:p>
        </w:tc>
        <w:tc>
          <w:tcPr>
            <w:tcW w:w="2760" w:type="dxa"/>
          </w:tcPr>
          <w:p w:rsidR="00E23C92" w:rsidRPr="00E23C92" w:rsidRDefault="00E23C92" w:rsidP="00E23C92">
            <w:pPr>
              <w:pStyle w:val="NoSpacing"/>
              <w:rPr>
                <w:b/>
              </w:rPr>
            </w:pPr>
            <w:r w:rsidRPr="00E23C92">
              <w:rPr>
                <w:b/>
              </w:rPr>
              <w:t>Date of next internal review of this strategy</w:t>
            </w:r>
          </w:p>
        </w:tc>
        <w:tc>
          <w:tcPr>
            <w:tcW w:w="1643" w:type="dxa"/>
          </w:tcPr>
          <w:p w:rsidR="00E23C92" w:rsidRDefault="00B90584" w:rsidP="00E23C92">
            <w:pPr>
              <w:pStyle w:val="NoSpacing"/>
            </w:pPr>
            <w:r>
              <w:t>Sept 2019</w:t>
            </w:r>
          </w:p>
        </w:tc>
      </w:tr>
    </w:tbl>
    <w:p w:rsidR="00E23C92" w:rsidRDefault="00E23C92" w:rsidP="00E23C92">
      <w:pPr>
        <w:pStyle w:val="NoSpacing"/>
      </w:pPr>
    </w:p>
    <w:tbl>
      <w:tblPr>
        <w:tblStyle w:val="TableGrid"/>
        <w:tblW w:w="17953" w:type="dxa"/>
        <w:tblLook w:val="04A0" w:firstRow="1" w:lastRow="0" w:firstColumn="1" w:lastColumn="0" w:noHBand="0" w:noVBand="1"/>
      </w:tblPr>
      <w:tblGrid>
        <w:gridCol w:w="2564"/>
        <w:gridCol w:w="2564"/>
        <w:gridCol w:w="2565"/>
        <w:gridCol w:w="2565"/>
        <w:gridCol w:w="5130"/>
        <w:gridCol w:w="2565"/>
      </w:tblGrid>
      <w:tr w:rsidR="00B90584" w:rsidTr="00D7620B">
        <w:trPr>
          <w:gridAfter w:val="1"/>
          <w:wAfter w:w="2565" w:type="dxa"/>
        </w:trPr>
        <w:tc>
          <w:tcPr>
            <w:tcW w:w="15388" w:type="dxa"/>
            <w:gridSpan w:val="5"/>
            <w:shd w:val="clear" w:color="auto" w:fill="92D050"/>
          </w:tcPr>
          <w:p w:rsidR="00B90584" w:rsidRPr="00B90584" w:rsidRDefault="00B90584" w:rsidP="001366F4">
            <w:pPr>
              <w:pStyle w:val="NoSpacing"/>
              <w:rPr>
                <w:b/>
              </w:rPr>
            </w:pPr>
            <w:r w:rsidRPr="00B90584">
              <w:rPr>
                <w:b/>
              </w:rPr>
              <w:t xml:space="preserve">Current Attainment </w:t>
            </w:r>
          </w:p>
        </w:tc>
      </w:tr>
      <w:tr w:rsidR="00D7620B" w:rsidTr="00193850">
        <w:trPr>
          <w:gridAfter w:val="1"/>
          <w:wAfter w:w="2565" w:type="dxa"/>
          <w:trHeight w:val="466"/>
        </w:trPr>
        <w:tc>
          <w:tcPr>
            <w:tcW w:w="2564" w:type="dxa"/>
          </w:tcPr>
          <w:p w:rsidR="00D7620B" w:rsidRDefault="00D7620B" w:rsidP="00E23C92">
            <w:pPr>
              <w:pStyle w:val="NoSpacing"/>
            </w:pPr>
          </w:p>
        </w:tc>
        <w:tc>
          <w:tcPr>
            <w:tcW w:w="2564" w:type="dxa"/>
          </w:tcPr>
          <w:p w:rsidR="00D7620B" w:rsidRPr="00805E32" w:rsidRDefault="00D7620B" w:rsidP="00805E32">
            <w:pPr>
              <w:pStyle w:val="NoSpacing"/>
              <w:jc w:val="center"/>
              <w:rPr>
                <w:b/>
              </w:rPr>
            </w:pPr>
            <w:r w:rsidRPr="00805E32">
              <w:rPr>
                <w:b/>
              </w:rPr>
              <w:t>Whole school</w:t>
            </w:r>
          </w:p>
        </w:tc>
        <w:tc>
          <w:tcPr>
            <w:tcW w:w="2565" w:type="dxa"/>
          </w:tcPr>
          <w:p w:rsidR="00D7620B" w:rsidRPr="00805E32" w:rsidRDefault="00D7620B" w:rsidP="00805E32">
            <w:pPr>
              <w:pStyle w:val="NoSpacing"/>
              <w:jc w:val="center"/>
              <w:rPr>
                <w:b/>
              </w:rPr>
            </w:pPr>
            <w:r w:rsidRPr="00805E32">
              <w:rPr>
                <w:b/>
              </w:rPr>
              <w:t>PP</w:t>
            </w:r>
          </w:p>
        </w:tc>
        <w:tc>
          <w:tcPr>
            <w:tcW w:w="2565" w:type="dxa"/>
          </w:tcPr>
          <w:p w:rsidR="00B22A8B" w:rsidRPr="00453FC2" w:rsidRDefault="00E94FED" w:rsidP="00B22A8B">
            <w:pPr>
              <w:pStyle w:val="NoSpacing"/>
              <w:jc w:val="center"/>
              <w:rPr>
                <w:b/>
              </w:rPr>
            </w:pPr>
            <w:r>
              <w:rPr>
                <w:b/>
                <w:sz w:val="16"/>
              </w:rPr>
              <w:t>National data</w:t>
            </w:r>
          </w:p>
        </w:tc>
        <w:tc>
          <w:tcPr>
            <w:tcW w:w="5130" w:type="dxa"/>
          </w:tcPr>
          <w:p w:rsidR="00D7620B" w:rsidRDefault="00D7620B" w:rsidP="00E23C92">
            <w:pPr>
              <w:pStyle w:val="NoSpacing"/>
            </w:pPr>
            <w:r w:rsidRPr="00D7620B">
              <w:rPr>
                <w:b/>
              </w:rPr>
              <w:t>Comment</w:t>
            </w:r>
          </w:p>
        </w:tc>
      </w:tr>
      <w:tr w:rsidR="00D7620B" w:rsidTr="009A08E0">
        <w:trPr>
          <w:gridAfter w:val="1"/>
          <w:wAfter w:w="2565" w:type="dxa"/>
        </w:trPr>
        <w:tc>
          <w:tcPr>
            <w:tcW w:w="2564" w:type="dxa"/>
          </w:tcPr>
          <w:p w:rsidR="00D7620B" w:rsidRPr="00453FC2" w:rsidRDefault="00D7620B" w:rsidP="00E23C92">
            <w:pPr>
              <w:pStyle w:val="NoSpacing"/>
              <w:rPr>
                <w:b/>
                <w:sz w:val="20"/>
              </w:rPr>
            </w:pPr>
            <w:r w:rsidRPr="00453FC2">
              <w:rPr>
                <w:b/>
                <w:sz w:val="20"/>
              </w:rPr>
              <w:t>P8</w:t>
            </w:r>
          </w:p>
        </w:tc>
        <w:tc>
          <w:tcPr>
            <w:tcW w:w="2564" w:type="dxa"/>
          </w:tcPr>
          <w:p w:rsidR="00D7620B" w:rsidRDefault="00D7620B" w:rsidP="00805E32">
            <w:pPr>
              <w:pStyle w:val="NoSpacing"/>
              <w:jc w:val="center"/>
            </w:pPr>
            <w:r>
              <w:t>+1.08</w:t>
            </w:r>
          </w:p>
        </w:tc>
        <w:tc>
          <w:tcPr>
            <w:tcW w:w="2565" w:type="dxa"/>
          </w:tcPr>
          <w:p w:rsidR="00D7620B" w:rsidRDefault="00D7620B" w:rsidP="00453FC2">
            <w:pPr>
              <w:pStyle w:val="NoSpacing"/>
              <w:jc w:val="center"/>
            </w:pPr>
            <w:r>
              <w:t>+0.9</w:t>
            </w:r>
          </w:p>
        </w:tc>
        <w:tc>
          <w:tcPr>
            <w:tcW w:w="2565" w:type="dxa"/>
          </w:tcPr>
          <w:p w:rsidR="00D7620B" w:rsidRDefault="00D7620B" w:rsidP="00453FC2">
            <w:pPr>
              <w:pStyle w:val="NoSpacing"/>
              <w:jc w:val="center"/>
            </w:pPr>
            <w:r>
              <w:t>0.0</w:t>
            </w:r>
          </w:p>
        </w:tc>
        <w:tc>
          <w:tcPr>
            <w:tcW w:w="5130" w:type="dxa"/>
          </w:tcPr>
          <w:p w:rsidR="00D7620B" w:rsidRDefault="00D7620B" w:rsidP="00F27B81">
            <w:pPr>
              <w:pStyle w:val="NoSpacing"/>
            </w:pPr>
            <w:r>
              <w:t>PP significantly above national and in top 10%</w:t>
            </w:r>
          </w:p>
        </w:tc>
      </w:tr>
      <w:tr w:rsidR="00D7620B" w:rsidTr="00BE29F7">
        <w:trPr>
          <w:gridAfter w:val="1"/>
          <w:wAfter w:w="2565" w:type="dxa"/>
        </w:trPr>
        <w:tc>
          <w:tcPr>
            <w:tcW w:w="2564" w:type="dxa"/>
          </w:tcPr>
          <w:p w:rsidR="00D7620B" w:rsidRPr="00453FC2" w:rsidRDefault="00D7620B" w:rsidP="00E23C92">
            <w:pPr>
              <w:pStyle w:val="NoSpacing"/>
              <w:rPr>
                <w:b/>
                <w:sz w:val="20"/>
              </w:rPr>
            </w:pPr>
            <w:r w:rsidRPr="00453FC2">
              <w:rPr>
                <w:b/>
                <w:sz w:val="20"/>
              </w:rPr>
              <w:t>A8</w:t>
            </w:r>
          </w:p>
        </w:tc>
        <w:tc>
          <w:tcPr>
            <w:tcW w:w="2564" w:type="dxa"/>
          </w:tcPr>
          <w:p w:rsidR="00D7620B" w:rsidRDefault="00D7620B" w:rsidP="00805E32">
            <w:pPr>
              <w:pStyle w:val="NoSpacing"/>
              <w:jc w:val="center"/>
            </w:pPr>
            <w:r>
              <w:t>55.23</w:t>
            </w:r>
          </w:p>
        </w:tc>
        <w:tc>
          <w:tcPr>
            <w:tcW w:w="2565" w:type="dxa"/>
          </w:tcPr>
          <w:p w:rsidR="00D7620B" w:rsidRDefault="00D7620B" w:rsidP="00453FC2">
            <w:pPr>
              <w:pStyle w:val="NoSpacing"/>
              <w:jc w:val="center"/>
            </w:pPr>
            <w:r>
              <w:t>51.05</w:t>
            </w:r>
          </w:p>
        </w:tc>
        <w:tc>
          <w:tcPr>
            <w:tcW w:w="2565" w:type="dxa"/>
          </w:tcPr>
          <w:p w:rsidR="00D7620B" w:rsidRDefault="00E94FED" w:rsidP="00453FC2">
            <w:pPr>
              <w:pStyle w:val="NoSpacing"/>
              <w:jc w:val="center"/>
            </w:pPr>
            <w:r>
              <w:t>44.5</w:t>
            </w:r>
          </w:p>
        </w:tc>
        <w:tc>
          <w:tcPr>
            <w:tcW w:w="5130" w:type="dxa"/>
          </w:tcPr>
          <w:p w:rsidR="00D7620B" w:rsidRDefault="00D7620B" w:rsidP="00453FC2">
            <w:pPr>
              <w:pStyle w:val="NoSpacing"/>
              <w:jc w:val="center"/>
            </w:pPr>
          </w:p>
        </w:tc>
      </w:tr>
      <w:tr w:rsidR="00D7620B" w:rsidTr="0098453B">
        <w:trPr>
          <w:gridAfter w:val="1"/>
          <w:wAfter w:w="2565" w:type="dxa"/>
        </w:trPr>
        <w:tc>
          <w:tcPr>
            <w:tcW w:w="2564" w:type="dxa"/>
          </w:tcPr>
          <w:p w:rsidR="00D7620B" w:rsidRPr="00453FC2" w:rsidRDefault="00D7620B" w:rsidP="00453FC2">
            <w:pPr>
              <w:pStyle w:val="NoSpacing"/>
              <w:rPr>
                <w:b/>
              </w:rPr>
            </w:pPr>
            <w:r w:rsidRPr="00453FC2">
              <w:rPr>
                <w:b/>
                <w:sz w:val="20"/>
              </w:rPr>
              <w:t>% 4-9 / % 5-9</w:t>
            </w:r>
            <w:r>
              <w:rPr>
                <w:b/>
                <w:sz w:val="20"/>
              </w:rPr>
              <w:t xml:space="preserve"> </w:t>
            </w:r>
            <w:r w:rsidRPr="00453FC2">
              <w:rPr>
                <w:b/>
                <w:sz w:val="20"/>
              </w:rPr>
              <w:t>in  English and Maths</w:t>
            </w:r>
          </w:p>
        </w:tc>
        <w:tc>
          <w:tcPr>
            <w:tcW w:w="2564" w:type="dxa"/>
          </w:tcPr>
          <w:p w:rsidR="00D7620B" w:rsidRDefault="00D7620B" w:rsidP="00805E32">
            <w:pPr>
              <w:pStyle w:val="NoSpacing"/>
              <w:jc w:val="center"/>
            </w:pPr>
            <w:r>
              <w:t xml:space="preserve">78% </w:t>
            </w:r>
            <w:r w:rsidR="00E94FED">
              <w:t>/ 55%</w:t>
            </w:r>
          </w:p>
        </w:tc>
        <w:tc>
          <w:tcPr>
            <w:tcW w:w="2565" w:type="dxa"/>
          </w:tcPr>
          <w:p w:rsidR="00D7620B" w:rsidRDefault="00D7620B" w:rsidP="00453FC2">
            <w:pPr>
              <w:pStyle w:val="NoSpacing"/>
              <w:jc w:val="center"/>
            </w:pPr>
            <w:r>
              <w:t>71%</w:t>
            </w:r>
            <w:r w:rsidR="00E94FED">
              <w:t xml:space="preserve"> / 48%</w:t>
            </w:r>
          </w:p>
        </w:tc>
        <w:tc>
          <w:tcPr>
            <w:tcW w:w="2565" w:type="dxa"/>
          </w:tcPr>
          <w:p w:rsidR="00D7620B" w:rsidRDefault="00E94FED" w:rsidP="005C6152">
            <w:pPr>
              <w:pStyle w:val="NoSpacing"/>
              <w:jc w:val="center"/>
            </w:pPr>
            <w:r>
              <w:t>40.2%</w:t>
            </w:r>
            <w:r w:rsidR="005C6152">
              <w:t xml:space="preserve"> (5-9)</w:t>
            </w:r>
          </w:p>
        </w:tc>
        <w:tc>
          <w:tcPr>
            <w:tcW w:w="5130" w:type="dxa"/>
          </w:tcPr>
          <w:p w:rsidR="00D7620B" w:rsidRDefault="00F27B81" w:rsidP="005C6152">
            <w:pPr>
              <w:pStyle w:val="NoSpacing"/>
            </w:pPr>
            <w:r>
              <w:t xml:space="preserve">EM match slightly below whole school but </w:t>
            </w:r>
            <w:r w:rsidR="005C6152">
              <w:t>8</w:t>
            </w:r>
            <w:r>
              <w:t>% above national</w:t>
            </w:r>
          </w:p>
        </w:tc>
      </w:tr>
      <w:tr w:rsidR="00D7620B" w:rsidTr="00686A91">
        <w:trPr>
          <w:gridAfter w:val="1"/>
          <w:wAfter w:w="2565" w:type="dxa"/>
        </w:trPr>
        <w:tc>
          <w:tcPr>
            <w:tcW w:w="2564" w:type="dxa"/>
          </w:tcPr>
          <w:p w:rsidR="00D7620B" w:rsidRPr="00453FC2" w:rsidRDefault="00D7620B" w:rsidP="00453FC2">
            <w:pPr>
              <w:pStyle w:val="NoSpacing"/>
              <w:rPr>
                <w:b/>
                <w:sz w:val="20"/>
              </w:rPr>
            </w:pPr>
            <w:r>
              <w:rPr>
                <w:b/>
                <w:sz w:val="20"/>
              </w:rPr>
              <w:t>P8 in English</w:t>
            </w:r>
          </w:p>
        </w:tc>
        <w:tc>
          <w:tcPr>
            <w:tcW w:w="2564" w:type="dxa"/>
          </w:tcPr>
          <w:p w:rsidR="00D7620B" w:rsidRDefault="00D7620B" w:rsidP="00805E32">
            <w:pPr>
              <w:pStyle w:val="NoSpacing"/>
              <w:jc w:val="center"/>
            </w:pPr>
            <w:r>
              <w:t>+1.35</w:t>
            </w:r>
          </w:p>
        </w:tc>
        <w:tc>
          <w:tcPr>
            <w:tcW w:w="2565" w:type="dxa"/>
          </w:tcPr>
          <w:p w:rsidR="00D7620B" w:rsidRDefault="00B22A8B" w:rsidP="00453FC2">
            <w:pPr>
              <w:pStyle w:val="NoSpacing"/>
              <w:jc w:val="center"/>
            </w:pPr>
            <w:r>
              <w:t>+1.19</w:t>
            </w:r>
          </w:p>
        </w:tc>
        <w:tc>
          <w:tcPr>
            <w:tcW w:w="2565" w:type="dxa"/>
          </w:tcPr>
          <w:p w:rsidR="00D7620B" w:rsidRDefault="00E94FED" w:rsidP="00453FC2">
            <w:pPr>
              <w:pStyle w:val="NoSpacing"/>
              <w:jc w:val="center"/>
            </w:pPr>
            <w:r>
              <w:t>0.0</w:t>
            </w:r>
          </w:p>
        </w:tc>
        <w:tc>
          <w:tcPr>
            <w:tcW w:w="5130" w:type="dxa"/>
          </w:tcPr>
          <w:p w:rsidR="00D7620B" w:rsidRDefault="00F27B81" w:rsidP="00F27B81">
            <w:pPr>
              <w:pStyle w:val="NoSpacing"/>
            </w:pPr>
            <w:r>
              <w:t>PP significantly above national and in top 10%</w:t>
            </w:r>
          </w:p>
        </w:tc>
      </w:tr>
      <w:tr w:rsidR="00D7620B" w:rsidTr="002E6FD2">
        <w:trPr>
          <w:gridAfter w:val="1"/>
          <w:wAfter w:w="2565" w:type="dxa"/>
        </w:trPr>
        <w:tc>
          <w:tcPr>
            <w:tcW w:w="2564" w:type="dxa"/>
          </w:tcPr>
          <w:p w:rsidR="00D7620B" w:rsidRDefault="00D7620B" w:rsidP="00DB4F63">
            <w:pPr>
              <w:pStyle w:val="NoSpacing"/>
              <w:rPr>
                <w:b/>
                <w:sz w:val="20"/>
              </w:rPr>
            </w:pPr>
            <w:r>
              <w:rPr>
                <w:b/>
                <w:sz w:val="20"/>
              </w:rPr>
              <w:t>A8 In English</w:t>
            </w:r>
          </w:p>
        </w:tc>
        <w:tc>
          <w:tcPr>
            <w:tcW w:w="2564" w:type="dxa"/>
          </w:tcPr>
          <w:p w:rsidR="00D7620B" w:rsidRDefault="00D7620B" w:rsidP="00805E32">
            <w:pPr>
              <w:pStyle w:val="NoSpacing"/>
              <w:jc w:val="center"/>
            </w:pPr>
            <w:r>
              <w:t>6.17</w:t>
            </w:r>
          </w:p>
        </w:tc>
        <w:tc>
          <w:tcPr>
            <w:tcW w:w="2565" w:type="dxa"/>
          </w:tcPr>
          <w:p w:rsidR="00D7620B" w:rsidRDefault="00D7620B" w:rsidP="00453FC2">
            <w:pPr>
              <w:pStyle w:val="NoSpacing"/>
              <w:jc w:val="center"/>
            </w:pPr>
            <w:r>
              <w:t>5.59</w:t>
            </w:r>
          </w:p>
        </w:tc>
        <w:tc>
          <w:tcPr>
            <w:tcW w:w="2565" w:type="dxa"/>
          </w:tcPr>
          <w:p w:rsidR="00D7620B" w:rsidRDefault="00D7620B" w:rsidP="00453FC2">
            <w:pPr>
              <w:pStyle w:val="NoSpacing"/>
              <w:jc w:val="center"/>
            </w:pPr>
          </w:p>
        </w:tc>
        <w:tc>
          <w:tcPr>
            <w:tcW w:w="5130" w:type="dxa"/>
          </w:tcPr>
          <w:p w:rsidR="00D7620B" w:rsidRDefault="00D7620B" w:rsidP="00453FC2">
            <w:pPr>
              <w:pStyle w:val="NoSpacing"/>
              <w:jc w:val="center"/>
            </w:pPr>
          </w:p>
        </w:tc>
      </w:tr>
      <w:tr w:rsidR="00D7620B" w:rsidTr="00386A5E">
        <w:trPr>
          <w:gridAfter w:val="1"/>
          <w:wAfter w:w="2565" w:type="dxa"/>
        </w:trPr>
        <w:tc>
          <w:tcPr>
            <w:tcW w:w="2564" w:type="dxa"/>
          </w:tcPr>
          <w:p w:rsidR="00D7620B" w:rsidRDefault="00D7620B" w:rsidP="00453FC2">
            <w:pPr>
              <w:pStyle w:val="NoSpacing"/>
              <w:rPr>
                <w:b/>
                <w:sz w:val="20"/>
              </w:rPr>
            </w:pPr>
            <w:r>
              <w:rPr>
                <w:b/>
                <w:sz w:val="20"/>
              </w:rPr>
              <w:t>P8 In Maths</w:t>
            </w:r>
          </w:p>
        </w:tc>
        <w:tc>
          <w:tcPr>
            <w:tcW w:w="2564" w:type="dxa"/>
          </w:tcPr>
          <w:p w:rsidR="00D7620B" w:rsidRDefault="00D7620B" w:rsidP="00805E32">
            <w:pPr>
              <w:pStyle w:val="NoSpacing"/>
              <w:jc w:val="center"/>
            </w:pPr>
            <w:r>
              <w:t>+0.75</w:t>
            </w:r>
          </w:p>
        </w:tc>
        <w:tc>
          <w:tcPr>
            <w:tcW w:w="2565" w:type="dxa"/>
          </w:tcPr>
          <w:p w:rsidR="00D7620B" w:rsidRDefault="00B22A8B" w:rsidP="00453FC2">
            <w:pPr>
              <w:pStyle w:val="NoSpacing"/>
              <w:jc w:val="center"/>
            </w:pPr>
            <w:r>
              <w:t>+0.46</w:t>
            </w:r>
          </w:p>
        </w:tc>
        <w:tc>
          <w:tcPr>
            <w:tcW w:w="2565" w:type="dxa"/>
          </w:tcPr>
          <w:p w:rsidR="00D7620B" w:rsidRDefault="00E94FED" w:rsidP="00453FC2">
            <w:pPr>
              <w:pStyle w:val="NoSpacing"/>
              <w:jc w:val="center"/>
            </w:pPr>
            <w:r>
              <w:t>0.0</w:t>
            </w:r>
          </w:p>
        </w:tc>
        <w:tc>
          <w:tcPr>
            <w:tcW w:w="5130" w:type="dxa"/>
          </w:tcPr>
          <w:p w:rsidR="00D7620B" w:rsidRDefault="00F27B81" w:rsidP="00F27B81">
            <w:pPr>
              <w:pStyle w:val="NoSpacing"/>
            </w:pPr>
            <w:r>
              <w:t>PP significantly above national</w:t>
            </w:r>
          </w:p>
        </w:tc>
      </w:tr>
      <w:tr w:rsidR="00D7620B" w:rsidTr="007E375B">
        <w:tc>
          <w:tcPr>
            <w:tcW w:w="2564" w:type="dxa"/>
          </w:tcPr>
          <w:p w:rsidR="00D7620B" w:rsidRDefault="00D7620B" w:rsidP="00D7620B">
            <w:pPr>
              <w:pStyle w:val="NoSpacing"/>
              <w:rPr>
                <w:b/>
                <w:sz w:val="20"/>
              </w:rPr>
            </w:pPr>
            <w:r>
              <w:rPr>
                <w:b/>
                <w:sz w:val="20"/>
              </w:rPr>
              <w:t>A8 in Maths</w:t>
            </w:r>
          </w:p>
        </w:tc>
        <w:tc>
          <w:tcPr>
            <w:tcW w:w="2564" w:type="dxa"/>
          </w:tcPr>
          <w:p w:rsidR="00D7620B" w:rsidRDefault="00D7620B" w:rsidP="00D7620B">
            <w:pPr>
              <w:pStyle w:val="NoSpacing"/>
              <w:jc w:val="center"/>
            </w:pPr>
            <w:r>
              <w:t>5.10</w:t>
            </w:r>
          </w:p>
        </w:tc>
        <w:tc>
          <w:tcPr>
            <w:tcW w:w="2565" w:type="dxa"/>
          </w:tcPr>
          <w:p w:rsidR="00D7620B" w:rsidRDefault="00D7620B" w:rsidP="00D7620B">
            <w:pPr>
              <w:pStyle w:val="NoSpacing"/>
              <w:jc w:val="center"/>
            </w:pPr>
            <w:r>
              <w:t>4.69</w:t>
            </w:r>
          </w:p>
        </w:tc>
        <w:tc>
          <w:tcPr>
            <w:tcW w:w="2565" w:type="dxa"/>
          </w:tcPr>
          <w:p w:rsidR="00D7620B" w:rsidRDefault="00D7620B" w:rsidP="00F27B81">
            <w:pPr>
              <w:pStyle w:val="NoSpacing"/>
            </w:pPr>
          </w:p>
        </w:tc>
        <w:tc>
          <w:tcPr>
            <w:tcW w:w="5130" w:type="dxa"/>
          </w:tcPr>
          <w:p w:rsidR="00D7620B" w:rsidRDefault="00D7620B" w:rsidP="00D7620B">
            <w:pPr>
              <w:pStyle w:val="NoSpacing"/>
              <w:jc w:val="center"/>
            </w:pPr>
          </w:p>
        </w:tc>
        <w:tc>
          <w:tcPr>
            <w:tcW w:w="2565" w:type="dxa"/>
          </w:tcPr>
          <w:p w:rsidR="00D7620B" w:rsidRDefault="00D7620B" w:rsidP="00D7620B">
            <w:pPr>
              <w:pStyle w:val="NoSpacing"/>
              <w:jc w:val="center"/>
            </w:pPr>
          </w:p>
        </w:tc>
      </w:tr>
    </w:tbl>
    <w:p w:rsidR="00B90584" w:rsidRDefault="00B90584" w:rsidP="00E23C92">
      <w:pPr>
        <w:pStyle w:val="NoSpacing"/>
      </w:pPr>
    </w:p>
    <w:tbl>
      <w:tblPr>
        <w:tblStyle w:val="TableGrid"/>
        <w:tblW w:w="0" w:type="auto"/>
        <w:tblLook w:val="04A0" w:firstRow="1" w:lastRow="0" w:firstColumn="1" w:lastColumn="0" w:noHBand="0" w:noVBand="1"/>
      </w:tblPr>
      <w:tblGrid>
        <w:gridCol w:w="15388"/>
      </w:tblGrid>
      <w:tr w:rsidR="00B90584" w:rsidTr="00A5609C">
        <w:tc>
          <w:tcPr>
            <w:tcW w:w="15388" w:type="dxa"/>
            <w:shd w:val="clear" w:color="auto" w:fill="92D050"/>
          </w:tcPr>
          <w:p w:rsidR="00B90584" w:rsidRDefault="00B90584" w:rsidP="00E23C92">
            <w:pPr>
              <w:pStyle w:val="NoSpacing"/>
            </w:pPr>
            <w:r w:rsidRPr="00B90584">
              <w:rPr>
                <w:b/>
              </w:rPr>
              <w:t>Barriers to learning</w:t>
            </w:r>
          </w:p>
        </w:tc>
      </w:tr>
      <w:tr w:rsidR="00F27B81" w:rsidTr="00995D08">
        <w:tc>
          <w:tcPr>
            <w:tcW w:w="15388" w:type="dxa"/>
          </w:tcPr>
          <w:p w:rsidR="00F27B81" w:rsidRDefault="00F27B81" w:rsidP="00F27B81">
            <w:pPr>
              <w:pStyle w:val="NoSpacing"/>
              <w:numPr>
                <w:ilvl w:val="0"/>
                <w:numId w:val="5"/>
              </w:numPr>
            </w:pPr>
            <w:r>
              <w:t xml:space="preserve">Despite performing well above national and in the top 10% of schools, there is still a gap with the attainment of our disadvantaged pupils when compared to whole school. This gap is wider in maths.  </w:t>
            </w:r>
          </w:p>
        </w:tc>
      </w:tr>
      <w:tr w:rsidR="00F27B81" w:rsidTr="000021B4">
        <w:tc>
          <w:tcPr>
            <w:tcW w:w="15388" w:type="dxa"/>
          </w:tcPr>
          <w:p w:rsidR="00F27B81" w:rsidRDefault="00787D67" w:rsidP="00126FE3">
            <w:pPr>
              <w:pStyle w:val="NoSpacing"/>
              <w:numPr>
                <w:ilvl w:val="0"/>
                <w:numId w:val="5"/>
              </w:numPr>
            </w:pPr>
            <w:r>
              <w:t>Literacy skills (oral and written) as a higher proporti</w:t>
            </w:r>
            <w:r w:rsidR="00E94FED">
              <w:t>on of our PP are also EAL.</w:t>
            </w:r>
          </w:p>
        </w:tc>
      </w:tr>
      <w:tr w:rsidR="00787D67" w:rsidTr="00423B75">
        <w:tc>
          <w:tcPr>
            <w:tcW w:w="15388" w:type="dxa"/>
          </w:tcPr>
          <w:p w:rsidR="00787D67" w:rsidRDefault="00787D67" w:rsidP="00787D67">
            <w:pPr>
              <w:pStyle w:val="NoSpacing"/>
              <w:numPr>
                <w:ilvl w:val="0"/>
                <w:numId w:val="5"/>
              </w:numPr>
            </w:pPr>
            <w:r>
              <w:t xml:space="preserve">Restricted access to wider educational and cultural experiences limiting exposure to cultural capital.  </w:t>
            </w:r>
          </w:p>
        </w:tc>
      </w:tr>
      <w:tr w:rsidR="00787D67" w:rsidTr="00423B75">
        <w:tc>
          <w:tcPr>
            <w:tcW w:w="15388" w:type="dxa"/>
          </w:tcPr>
          <w:p w:rsidR="00787D67" w:rsidRDefault="00787D67" w:rsidP="00787D67">
            <w:pPr>
              <w:pStyle w:val="NoSpacing"/>
              <w:numPr>
                <w:ilvl w:val="0"/>
                <w:numId w:val="5"/>
              </w:numPr>
            </w:pPr>
            <w:r>
              <w:rPr>
                <w:sz w:val="23"/>
                <w:szCs w:val="23"/>
              </w:rPr>
              <w:t xml:space="preserve">A lack of awareness of what learning opportunities are available in the form of </w:t>
            </w:r>
            <w:r>
              <w:t>information, advice and guidance.</w:t>
            </w:r>
          </w:p>
        </w:tc>
      </w:tr>
      <w:tr w:rsidR="00787D67" w:rsidTr="00423B75">
        <w:tc>
          <w:tcPr>
            <w:tcW w:w="15388" w:type="dxa"/>
          </w:tcPr>
          <w:p w:rsidR="00787D67" w:rsidRDefault="00E94FED" w:rsidP="00E94FED">
            <w:pPr>
              <w:pStyle w:val="NoSpacing"/>
              <w:numPr>
                <w:ilvl w:val="0"/>
                <w:numId w:val="5"/>
              </w:numPr>
            </w:pPr>
            <w:r>
              <w:t>Potential for l</w:t>
            </w:r>
            <w:r w:rsidR="00787D67">
              <w:t>ower parental engagement from disadvantaged families</w:t>
            </w:r>
            <w:r>
              <w:t>.</w:t>
            </w:r>
          </w:p>
        </w:tc>
      </w:tr>
    </w:tbl>
    <w:p w:rsidR="00B90584" w:rsidRPr="00E23C92" w:rsidRDefault="00B90584" w:rsidP="00E23C92">
      <w:pPr>
        <w:pStyle w:val="NoSpacing"/>
      </w:pPr>
    </w:p>
    <w:p w:rsidR="00E23C92" w:rsidRDefault="00E23C92" w:rsidP="004E05B8">
      <w:pPr>
        <w:jc w:val="center"/>
        <w:rPr>
          <w:b/>
          <w:sz w:val="20"/>
          <w:szCs w:val="20"/>
          <w:u w:val="single"/>
        </w:rPr>
      </w:pPr>
    </w:p>
    <w:p w:rsidR="00E23C92" w:rsidRDefault="00E23C92" w:rsidP="004E05B8">
      <w:pPr>
        <w:jc w:val="center"/>
        <w:rPr>
          <w:b/>
          <w:sz w:val="20"/>
          <w:szCs w:val="20"/>
          <w:u w:val="single"/>
        </w:rPr>
      </w:pPr>
    </w:p>
    <w:p w:rsidR="00E23C92" w:rsidRDefault="00E23C92" w:rsidP="004E05B8">
      <w:pPr>
        <w:jc w:val="center"/>
        <w:rPr>
          <w:b/>
          <w:sz w:val="20"/>
          <w:szCs w:val="20"/>
          <w:u w:val="single"/>
        </w:rPr>
      </w:pPr>
    </w:p>
    <w:p w:rsidR="00E23C92" w:rsidRDefault="00E23C92" w:rsidP="004E05B8">
      <w:pPr>
        <w:jc w:val="center"/>
        <w:rPr>
          <w:b/>
          <w:sz w:val="20"/>
          <w:szCs w:val="20"/>
          <w:u w:val="single"/>
        </w:rPr>
      </w:pPr>
    </w:p>
    <w:p w:rsidR="00E23C92" w:rsidRDefault="00E23C92" w:rsidP="004E05B8">
      <w:pPr>
        <w:jc w:val="center"/>
        <w:rPr>
          <w:b/>
          <w:sz w:val="20"/>
          <w:szCs w:val="20"/>
          <w:u w:val="single"/>
        </w:rPr>
      </w:pPr>
    </w:p>
    <w:p w:rsidR="00E23C92" w:rsidRDefault="00E23C92" w:rsidP="004E05B8">
      <w:pPr>
        <w:jc w:val="center"/>
        <w:rPr>
          <w:b/>
          <w:sz w:val="20"/>
          <w:szCs w:val="20"/>
          <w:u w:val="single"/>
        </w:rPr>
      </w:pPr>
    </w:p>
    <w:p w:rsidR="00E23C92" w:rsidRDefault="00E23C92" w:rsidP="004E05B8">
      <w:pPr>
        <w:jc w:val="center"/>
        <w:rPr>
          <w:b/>
          <w:sz w:val="20"/>
          <w:szCs w:val="20"/>
          <w:u w:val="single"/>
        </w:rPr>
      </w:pPr>
    </w:p>
    <w:p w:rsidR="00E23C92" w:rsidRDefault="00E23C92" w:rsidP="004E05B8">
      <w:pPr>
        <w:jc w:val="center"/>
        <w:rPr>
          <w:b/>
          <w:sz w:val="20"/>
          <w:szCs w:val="20"/>
          <w:u w:val="single"/>
        </w:rPr>
      </w:pPr>
    </w:p>
    <w:p w:rsidR="00E23C92" w:rsidRDefault="00E23C92" w:rsidP="004E05B8">
      <w:pPr>
        <w:jc w:val="center"/>
        <w:rPr>
          <w:b/>
          <w:sz w:val="20"/>
          <w:szCs w:val="20"/>
          <w:u w:val="single"/>
        </w:rPr>
      </w:pPr>
    </w:p>
    <w:p w:rsidR="00E23C92" w:rsidRDefault="00E23C92" w:rsidP="004E05B8">
      <w:pPr>
        <w:jc w:val="center"/>
        <w:rPr>
          <w:b/>
          <w:sz w:val="20"/>
          <w:szCs w:val="20"/>
          <w:u w:val="single"/>
        </w:rPr>
      </w:pPr>
    </w:p>
    <w:p w:rsidR="00E23C92" w:rsidRDefault="00E23C92" w:rsidP="004E05B8">
      <w:pPr>
        <w:jc w:val="center"/>
        <w:rPr>
          <w:b/>
          <w:sz w:val="20"/>
          <w:szCs w:val="20"/>
          <w:u w:val="single"/>
        </w:rPr>
      </w:pPr>
    </w:p>
    <w:p w:rsidR="00E23C92" w:rsidRDefault="00E23C92" w:rsidP="004E05B8">
      <w:pPr>
        <w:jc w:val="center"/>
        <w:rPr>
          <w:b/>
          <w:sz w:val="20"/>
          <w:szCs w:val="20"/>
          <w:u w:val="single"/>
        </w:rPr>
      </w:pPr>
    </w:p>
    <w:p w:rsidR="00ED2072" w:rsidRPr="00346FBC" w:rsidRDefault="004E05B8" w:rsidP="00F27B81">
      <w:pPr>
        <w:rPr>
          <w:b/>
          <w:sz w:val="20"/>
          <w:szCs w:val="20"/>
          <w:u w:val="single"/>
        </w:rPr>
      </w:pPr>
      <w:r w:rsidRPr="00346FBC">
        <w:rPr>
          <w:b/>
          <w:sz w:val="20"/>
          <w:szCs w:val="20"/>
          <w:u w:val="single"/>
        </w:rPr>
        <w:t xml:space="preserve">Pupil Premium spend </w:t>
      </w:r>
      <w:r w:rsidR="00F766AA">
        <w:rPr>
          <w:b/>
          <w:sz w:val="20"/>
          <w:szCs w:val="20"/>
          <w:u w:val="single"/>
        </w:rPr>
        <w:t xml:space="preserve">plan </w:t>
      </w:r>
      <w:r w:rsidR="004F45DE">
        <w:rPr>
          <w:b/>
          <w:sz w:val="20"/>
          <w:szCs w:val="20"/>
          <w:u w:val="single"/>
        </w:rPr>
        <w:t>2018/2019</w:t>
      </w:r>
    </w:p>
    <w:p w:rsidR="004E05B8" w:rsidRPr="00346FBC" w:rsidRDefault="004E05B8" w:rsidP="004E05B8">
      <w:pPr>
        <w:pStyle w:val="NoSpacing"/>
        <w:rPr>
          <w:sz w:val="20"/>
          <w:szCs w:val="20"/>
        </w:rPr>
      </w:pPr>
    </w:p>
    <w:p w:rsidR="00297B7C" w:rsidRPr="00346FBC" w:rsidRDefault="004E05B8" w:rsidP="00ED2072">
      <w:pPr>
        <w:pStyle w:val="NoSpacing"/>
        <w:rPr>
          <w:b/>
          <w:sz w:val="20"/>
          <w:szCs w:val="20"/>
        </w:rPr>
      </w:pPr>
      <w:r w:rsidRPr="00346FBC">
        <w:rPr>
          <w:b/>
          <w:sz w:val="20"/>
          <w:szCs w:val="20"/>
        </w:rPr>
        <w:t>N</w:t>
      </w:r>
      <w:r w:rsidR="00B102FD">
        <w:rPr>
          <w:b/>
          <w:sz w:val="20"/>
          <w:szCs w:val="20"/>
        </w:rPr>
        <w:t>umber of Pupils Eligible for PP</w:t>
      </w:r>
      <w:r w:rsidR="00F522BD">
        <w:rPr>
          <w:b/>
          <w:sz w:val="20"/>
          <w:szCs w:val="20"/>
        </w:rPr>
        <w:t xml:space="preserve">: </w:t>
      </w:r>
      <w:r w:rsidR="00675CB5" w:rsidRPr="00675CB5">
        <w:rPr>
          <w:b/>
          <w:color w:val="000000" w:themeColor="text1"/>
          <w:sz w:val="20"/>
          <w:szCs w:val="20"/>
        </w:rPr>
        <w:t>306</w:t>
      </w:r>
      <w:r w:rsidR="00297B7C" w:rsidRPr="00675CB5">
        <w:rPr>
          <w:b/>
          <w:color w:val="000000" w:themeColor="text1"/>
          <w:sz w:val="20"/>
          <w:szCs w:val="20"/>
        </w:rPr>
        <w:t xml:space="preserve"> </w:t>
      </w:r>
      <w:r w:rsidRPr="00346FBC">
        <w:rPr>
          <w:b/>
          <w:sz w:val="20"/>
          <w:szCs w:val="20"/>
        </w:rPr>
        <w:t>@ £935 per Pupil = £</w:t>
      </w:r>
      <w:r w:rsidR="00675CB5">
        <w:rPr>
          <w:b/>
          <w:sz w:val="20"/>
          <w:szCs w:val="20"/>
        </w:rPr>
        <w:t xml:space="preserve">286,110 (TBC) </w:t>
      </w:r>
    </w:p>
    <w:tbl>
      <w:tblPr>
        <w:tblW w:w="14852" w:type="dxa"/>
        <w:tblLook w:val="04A0" w:firstRow="1" w:lastRow="0" w:firstColumn="1" w:lastColumn="0" w:noHBand="0" w:noVBand="1"/>
      </w:tblPr>
      <w:tblGrid>
        <w:gridCol w:w="6799"/>
        <w:gridCol w:w="760"/>
        <w:gridCol w:w="959"/>
        <w:gridCol w:w="1037"/>
        <w:gridCol w:w="5297"/>
      </w:tblGrid>
      <w:tr w:rsidR="001A244F" w:rsidRPr="001A244F" w:rsidTr="001A244F">
        <w:trPr>
          <w:trHeight w:val="300"/>
        </w:trPr>
        <w:tc>
          <w:tcPr>
            <w:tcW w:w="6799" w:type="dxa"/>
            <w:tcBorders>
              <w:top w:val="single" w:sz="8" w:space="0" w:color="B3CC82"/>
              <w:left w:val="single" w:sz="8" w:space="0" w:color="B3CC82"/>
              <w:bottom w:val="single" w:sz="8" w:space="0" w:color="B3CC82"/>
              <w:right w:val="single" w:sz="8" w:space="0" w:color="B3CC82"/>
            </w:tcBorders>
            <w:shd w:val="clear" w:color="000000" w:fill="C6D9F1"/>
            <w:vAlign w:val="center"/>
            <w:hideMark/>
          </w:tcPr>
          <w:p w:rsidR="001A244F" w:rsidRPr="001A244F" w:rsidRDefault="001A244F" w:rsidP="001A244F">
            <w:pPr>
              <w:rPr>
                <w:rFonts w:eastAsia="Times New Roman" w:cs="Calibri"/>
                <w:b/>
                <w:bCs/>
                <w:color w:val="000000"/>
                <w:sz w:val="20"/>
                <w:szCs w:val="20"/>
                <w:lang w:eastAsia="en-GB"/>
              </w:rPr>
            </w:pPr>
            <w:r w:rsidRPr="001A244F">
              <w:rPr>
                <w:rFonts w:eastAsia="Times New Roman" w:cs="Calibri"/>
                <w:b/>
                <w:bCs/>
                <w:color w:val="000000"/>
                <w:sz w:val="20"/>
                <w:szCs w:val="20"/>
                <w:lang w:eastAsia="en-GB"/>
              </w:rPr>
              <w:t>Action</w:t>
            </w:r>
          </w:p>
        </w:tc>
        <w:tc>
          <w:tcPr>
            <w:tcW w:w="760" w:type="dxa"/>
            <w:tcBorders>
              <w:top w:val="single" w:sz="8" w:space="0" w:color="B3CC82"/>
              <w:left w:val="nil"/>
              <w:bottom w:val="single" w:sz="8" w:space="0" w:color="B3CC82"/>
              <w:right w:val="single" w:sz="8" w:space="0" w:color="B3CC82"/>
            </w:tcBorders>
            <w:shd w:val="clear" w:color="000000" w:fill="C6D9F1"/>
            <w:vAlign w:val="center"/>
            <w:hideMark/>
          </w:tcPr>
          <w:p w:rsidR="001A244F" w:rsidRPr="001A244F" w:rsidRDefault="001A244F" w:rsidP="001A244F">
            <w:pPr>
              <w:rPr>
                <w:rFonts w:eastAsia="Times New Roman" w:cs="Calibri"/>
                <w:b/>
                <w:bCs/>
                <w:color w:val="000000"/>
                <w:sz w:val="20"/>
                <w:szCs w:val="20"/>
                <w:lang w:eastAsia="en-GB"/>
              </w:rPr>
            </w:pPr>
            <w:r w:rsidRPr="001A244F">
              <w:rPr>
                <w:rFonts w:eastAsia="Times New Roman" w:cs="Calibri"/>
                <w:b/>
                <w:bCs/>
                <w:color w:val="000000"/>
                <w:sz w:val="20"/>
                <w:szCs w:val="20"/>
                <w:lang w:eastAsia="en-GB"/>
              </w:rPr>
              <w:t>Who?</w:t>
            </w:r>
          </w:p>
        </w:tc>
        <w:tc>
          <w:tcPr>
            <w:tcW w:w="959" w:type="dxa"/>
            <w:tcBorders>
              <w:top w:val="single" w:sz="8" w:space="0" w:color="B3CC82"/>
              <w:left w:val="nil"/>
              <w:bottom w:val="single" w:sz="8" w:space="0" w:color="B3CC82"/>
              <w:right w:val="single" w:sz="8" w:space="0" w:color="B3CC82"/>
            </w:tcBorders>
            <w:shd w:val="clear" w:color="000000" w:fill="C6D9F1"/>
            <w:vAlign w:val="center"/>
            <w:hideMark/>
          </w:tcPr>
          <w:p w:rsidR="001A244F" w:rsidRPr="001A244F" w:rsidRDefault="001A244F" w:rsidP="001A244F">
            <w:pPr>
              <w:rPr>
                <w:rFonts w:eastAsia="Times New Roman" w:cs="Calibri"/>
                <w:b/>
                <w:bCs/>
                <w:color w:val="000000"/>
                <w:sz w:val="20"/>
                <w:szCs w:val="20"/>
                <w:lang w:eastAsia="en-GB"/>
              </w:rPr>
            </w:pPr>
            <w:r w:rsidRPr="001A244F">
              <w:rPr>
                <w:rFonts w:eastAsia="Times New Roman" w:cs="Calibri"/>
                <w:b/>
                <w:bCs/>
                <w:color w:val="000000"/>
                <w:sz w:val="20"/>
                <w:szCs w:val="20"/>
                <w:lang w:eastAsia="en-GB"/>
              </w:rPr>
              <w:t>When?</w:t>
            </w:r>
          </w:p>
        </w:tc>
        <w:tc>
          <w:tcPr>
            <w:tcW w:w="1037" w:type="dxa"/>
            <w:tcBorders>
              <w:top w:val="single" w:sz="8" w:space="0" w:color="B3CC82"/>
              <w:left w:val="nil"/>
              <w:bottom w:val="single" w:sz="8" w:space="0" w:color="B3CC82"/>
              <w:right w:val="single" w:sz="8" w:space="0" w:color="B3CC82"/>
            </w:tcBorders>
            <w:shd w:val="clear" w:color="000000" w:fill="C6D9F1"/>
            <w:vAlign w:val="center"/>
            <w:hideMark/>
          </w:tcPr>
          <w:p w:rsidR="001A244F" w:rsidRPr="001A244F" w:rsidRDefault="001A244F" w:rsidP="001A244F">
            <w:pPr>
              <w:rPr>
                <w:rFonts w:eastAsia="Times New Roman" w:cs="Calibri"/>
                <w:b/>
                <w:bCs/>
                <w:color w:val="000000"/>
                <w:sz w:val="20"/>
                <w:szCs w:val="20"/>
                <w:lang w:eastAsia="en-GB"/>
              </w:rPr>
            </w:pPr>
            <w:r w:rsidRPr="001A244F">
              <w:rPr>
                <w:rFonts w:eastAsia="Times New Roman" w:cs="Calibri"/>
                <w:b/>
                <w:bCs/>
                <w:color w:val="000000"/>
                <w:sz w:val="20"/>
                <w:szCs w:val="20"/>
                <w:lang w:eastAsia="en-GB"/>
              </w:rPr>
              <w:t>Cost?</w:t>
            </w:r>
          </w:p>
        </w:tc>
        <w:tc>
          <w:tcPr>
            <w:tcW w:w="5297" w:type="dxa"/>
            <w:tcBorders>
              <w:top w:val="single" w:sz="8" w:space="0" w:color="B3CC82"/>
              <w:left w:val="nil"/>
              <w:bottom w:val="single" w:sz="8" w:space="0" w:color="B3CC82"/>
              <w:right w:val="single" w:sz="8" w:space="0" w:color="B3CC82"/>
            </w:tcBorders>
            <w:shd w:val="clear" w:color="000000" w:fill="C6D9F1"/>
            <w:vAlign w:val="center"/>
            <w:hideMark/>
          </w:tcPr>
          <w:p w:rsidR="001A244F" w:rsidRPr="001A244F" w:rsidRDefault="001A244F" w:rsidP="001A244F">
            <w:pPr>
              <w:rPr>
                <w:rFonts w:eastAsia="Times New Roman" w:cs="Calibri"/>
                <w:b/>
                <w:bCs/>
                <w:color w:val="000000"/>
                <w:sz w:val="20"/>
                <w:szCs w:val="20"/>
                <w:lang w:eastAsia="en-GB"/>
              </w:rPr>
            </w:pPr>
            <w:r w:rsidRPr="001A244F">
              <w:rPr>
                <w:rFonts w:eastAsia="Times New Roman" w:cs="Calibri"/>
                <w:b/>
                <w:bCs/>
                <w:color w:val="000000"/>
                <w:sz w:val="20"/>
                <w:szCs w:val="20"/>
                <w:lang w:eastAsia="en-GB"/>
              </w:rPr>
              <w:t>Monitoring and Impact</w:t>
            </w:r>
          </w:p>
        </w:tc>
      </w:tr>
      <w:tr w:rsidR="001A244F" w:rsidRPr="001A244F" w:rsidTr="001A244F">
        <w:trPr>
          <w:trHeight w:val="444"/>
        </w:trPr>
        <w:tc>
          <w:tcPr>
            <w:tcW w:w="6799" w:type="dxa"/>
            <w:tcBorders>
              <w:top w:val="nil"/>
              <w:left w:val="single" w:sz="8" w:space="0" w:color="B3CC82"/>
              <w:bottom w:val="single" w:sz="8" w:space="0" w:color="B3CC82"/>
              <w:right w:val="single" w:sz="8" w:space="0" w:color="B3CC82"/>
            </w:tcBorders>
            <w:shd w:val="clear" w:color="000000" w:fill="CDDDAC"/>
            <w:vAlign w:val="center"/>
            <w:hideMark/>
          </w:tcPr>
          <w:p w:rsidR="001A244F" w:rsidRPr="001A244F" w:rsidRDefault="001A244F" w:rsidP="001A244F">
            <w:pPr>
              <w:rPr>
                <w:rFonts w:eastAsia="Times New Roman" w:cs="Calibri"/>
                <w:color w:val="000000"/>
                <w:sz w:val="20"/>
                <w:szCs w:val="20"/>
                <w:lang w:eastAsia="en-GB"/>
              </w:rPr>
            </w:pPr>
            <w:r w:rsidRPr="001A244F">
              <w:rPr>
                <w:rFonts w:eastAsia="Times New Roman" w:cs="Calibri"/>
                <w:color w:val="000000"/>
                <w:sz w:val="20"/>
                <w:szCs w:val="20"/>
                <w:lang w:eastAsia="en-GB"/>
              </w:rPr>
              <w:t>Identify barriers to learning, analyse levels of progress</w:t>
            </w:r>
            <w:r w:rsidRPr="001A244F">
              <w:rPr>
                <w:rFonts w:eastAsia="Times New Roman" w:cs="Calibri"/>
                <w:color w:val="FF0000"/>
                <w:sz w:val="20"/>
                <w:szCs w:val="20"/>
                <w:lang w:eastAsia="en-GB"/>
              </w:rPr>
              <w:t xml:space="preserve"> </w:t>
            </w:r>
            <w:r w:rsidRPr="001A244F">
              <w:rPr>
                <w:rFonts w:eastAsia="Times New Roman" w:cs="Calibri"/>
                <w:color w:val="000000"/>
                <w:sz w:val="20"/>
                <w:szCs w:val="20"/>
                <w:lang w:eastAsia="en-GB"/>
              </w:rPr>
              <w:t>data for all PP to identify underachievement at each grade entry</w:t>
            </w:r>
          </w:p>
        </w:tc>
        <w:tc>
          <w:tcPr>
            <w:tcW w:w="760" w:type="dxa"/>
            <w:tcBorders>
              <w:top w:val="nil"/>
              <w:left w:val="nil"/>
              <w:bottom w:val="single" w:sz="8" w:space="0" w:color="B3CC82"/>
              <w:right w:val="single" w:sz="8" w:space="0" w:color="B3CC82"/>
            </w:tcBorders>
            <w:shd w:val="clear" w:color="000000" w:fill="CDDDAC"/>
            <w:vAlign w:val="center"/>
            <w:hideMark/>
          </w:tcPr>
          <w:p w:rsidR="001A244F" w:rsidRPr="001A244F" w:rsidRDefault="001A244F" w:rsidP="001A244F">
            <w:pPr>
              <w:jc w:val="center"/>
              <w:rPr>
                <w:rFonts w:eastAsia="Times New Roman" w:cs="Calibri"/>
                <w:color w:val="000000"/>
                <w:sz w:val="20"/>
                <w:szCs w:val="20"/>
                <w:lang w:eastAsia="en-GB"/>
              </w:rPr>
            </w:pPr>
            <w:r w:rsidRPr="001A244F">
              <w:rPr>
                <w:rFonts w:eastAsia="Times New Roman" w:cs="Calibri"/>
                <w:color w:val="000000"/>
                <w:sz w:val="20"/>
                <w:szCs w:val="20"/>
                <w:lang w:eastAsia="en-GB"/>
              </w:rPr>
              <w:t>CD / PL</w:t>
            </w:r>
          </w:p>
        </w:tc>
        <w:tc>
          <w:tcPr>
            <w:tcW w:w="959" w:type="dxa"/>
            <w:tcBorders>
              <w:top w:val="nil"/>
              <w:left w:val="nil"/>
              <w:bottom w:val="single" w:sz="8" w:space="0" w:color="B3CC82"/>
              <w:right w:val="single" w:sz="8" w:space="0" w:color="B3CC82"/>
            </w:tcBorders>
            <w:shd w:val="clear" w:color="000000" w:fill="CDDDAC"/>
            <w:vAlign w:val="center"/>
            <w:hideMark/>
          </w:tcPr>
          <w:p w:rsidR="001A244F" w:rsidRPr="001A244F" w:rsidRDefault="001A244F" w:rsidP="001A244F">
            <w:pPr>
              <w:jc w:val="center"/>
              <w:rPr>
                <w:rFonts w:eastAsia="Times New Roman" w:cs="Calibri"/>
                <w:color w:val="000000"/>
                <w:sz w:val="16"/>
                <w:szCs w:val="16"/>
                <w:lang w:eastAsia="en-GB"/>
              </w:rPr>
            </w:pPr>
            <w:r w:rsidRPr="001A244F">
              <w:rPr>
                <w:rFonts w:eastAsia="Times New Roman" w:cs="Calibri"/>
                <w:color w:val="000000"/>
                <w:sz w:val="16"/>
                <w:szCs w:val="16"/>
                <w:lang w:eastAsia="en-GB"/>
              </w:rPr>
              <w:t>Sep-18</w:t>
            </w:r>
          </w:p>
        </w:tc>
        <w:tc>
          <w:tcPr>
            <w:tcW w:w="1037" w:type="dxa"/>
            <w:tcBorders>
              <w:top w:val="nil"/>
              <w:left w:val="nil"/>
              <w:bottom w:val="single" w:sz="8" w:space="0" w:color="B3CC82"/>
              <w:right w:val="single" w:sz="8" w:space="0" w:color="B3CC82"/>
            </w:tcBorders>
            <w:shd w:val="clear" w:color="000000" w:fill="CDDDAC"/>
            <w:vAlign w:val="center"/>
            <w:hideMark/>
          </w:tcPr>
          <w:p w:rsidR="001A244F" w:rsidRPr="001A244F" w:rsidRDefault="001A244F" w:rsidP="001A244F">
            <w:pPr>
              <w:jc w:val="right"/>
              <w:rPr>
                <w:rFonts w:eastAsia="Times New Roman" w:cs="Calibri"/>
                <w:color w:val="000000"/>
                <w:sz w:val="20"/>
                <w:szCs w:val="20"/>
                <w:lang w:eastAsia="en-GB"/>
              </w:rPr>
            </w:pPr>
            <w:r w:rsidRPr="001A244F">
              <w:rPr>
                <w:rFonts w:eastAsia="Times New Roman" w:cs="Calibri"/>
                <w:color w:val="000000"/>
                <w:sz w:val="20"/>
                <w:szCs w:val="20"/>
                <w:lang w:eastAsia="en-GB"/>
              </w:rPr>
              <w:t>£3,000</w:t>
            </w:r>
          </w:p>
        </w:tc>
        <w:tc>
          <w:tcPr>
            <w:tcW w:w="5297" w:type="dxa"/>
            <w:tcBorders>
              <w:top w:val="nil"/>
              <w:left w:val="nil"/>
              <w:bottom w:val="single" w:sz="8" w:space="0" w:color="B3CC82"/>
              <w:right w:val="single" w:sz="8" w:space="0" w:color="B3CC82"/>
            </w:tcBorders>
            <w:shd w:val="clear" w:color="000000" w:fill="CDDDAC"/>
            <w:vAlign w:val="center"/>
            <w:hideMark/>
          </w:tcPr>
          <w:p w:rsidR="001A244F" w:rsidRPr="001A244F" w:rsidRDefault="001A244F" w:rsidP="001A244F">
            <w:pPr>
              <w:rPr>
                <w:rFonts w:eastAsia="Times New Roman" w:cs="Calibri"/>
                <w:color w:val="000000"/>
                <w:sz w:val="20"/>
                <w:szCs w:val="20"/>
                <w:lang w:eastAsia="en-GB"/>
              </w:rPr>
            </w:pPr>
            <w:r w:rsidRPr="001A244F">
              <w:rPr>
                <w:rFonts w:eastAsia="Times New Roman" w:cs="Calibri"/>
                <w:color w:val="000000"/>
                <w:sz w:val="20"/>
                <w:szCs w:val="20"/>
                <w:lang w:eastAsia="en-GB"/>
              </w:rPr>
              <w:t xml:space="preserve">Students who are underachieving, are identified for intervention and support. </w:t>
            </w:r>
          </w:p>
        </w:tc>
      </w:tr>
      <w:tr w:rsidR="001A244F" w:rsidRPr="001A244F" w:rsidTr="001A244F">
        <w:trPr>
          <w:trHeight w:val="225"/>
        </w:trPr>
        <w:tc>
          <w:tcPr>
            <w:tcW w:w="6799" w:type="dxa"/>
            <w:tcBorders>
              <w:top w:val="nil"/>
              <w:left w:val="single" w:sz="8" w:space="0" w:color="B3CC82"/>
              <w:bottom w:val="single" w:sz="8" w:space="0" w:color="B3CC82"/>
              <w:right w:val="single" w:sz="8" w:space="0" w:color="B3CC82"/>
            </w:tcBorders>
            <w:shd w:val="clear" w:color="000000" w:fill="E6EED5"/>
            <w:vAlign w:val="center"/>
            <w:hideMark/>
          </w:tcPr>
          <w:p w:rsidR="001A244F" w:rsidRPr="001A244F" w:rsidRDefault="001A244F" w:rsidP="001A244F">
            <w:pPr>
              <w:rPr>
                <w:rFonts w:eastAsia="Times New Roman" w:cs="Calibri"/>
                <w:color w:val="000000"/>
                <w:sz w:val="20"/>
                <w:szCs w:val="20"/>
                <w:lang w:eastAsia="en-GB"/>
              </w:rPr>
            </w:pPr>
            <w:r w:rsidRPr="001A244F">
              <w:rPr>
                <w:rFonts w:eastAsia="Times New Roman" w:cs="Calibri"/>
                <w:color w:val="000000"/>
                <w:sz w:val="20"/>
                <w:szCs w:val="20"/>
                <w:lang w:eastAsia="en-GB"/>
              </w:rPr>
              <w:t>Target Year 11 PP for mentoring programme and attendance (PiXL)</w:t>
            </w:r>
          </w:p>
        </w:tc>
        <w:tc>
          <w:tcPr>
            <w:tcW w:w="760" w:type="dxa"/>
            <w:tcBorders>
              <w:top w:val="nil"/>
              <w:left w:val="nil"/>
              <w:bottom w:val="single" w:sz="8" w:space="0" w:color="B3CC82"/>
              <w:right w:val="single" w:sz="8" w:space="0" w:color="B3CC82"/>
            </w:tcBorders>
            <w:shd w:val="clear" w:color="000000" w:fill="E6EED5"/>
            <w:vAlign w:val="center"/>
            <w:hideMark/>
          </w:tcPr>
          <w:p w:rsidR="001A244F" w:rsidRPr="001A244F" w:rsidRDefault="001A244F" w:rsidP="001A244F">
            <w:pPr>
              <w:jc w:val="center"/>
              <w:rPr>
                <w:rFonts w:eastAsia="Times New Roman" w:cs="Calibri"/>
                <w:color w:val="000000"/>
                <w:sz w:val="20"/>
                <w:szCs w:val="20"/>
                <w:lang w:eastAsia="en-GB"/>
              </w:rPr>
            </w:pPr>
            <w:r w:rsidRPr="001A244F">
              <w:rPr>
                <w:rFonts w:eastAsia="Times New Roman" w:cs="Calibri"/>
                <w:color w:val="000000"/>
                <w:sz w:val="20"/>
                <w:szCs w:val="20"/>
                <w:lang w:eastAsia="en-GB"/>
              </w:rPr>
              <w:t>LHE</w:t>
            </w:r>
          </w:p>
        </w:tc>
        <w:tc>
          <w:tcPr>
            <w:tcW w:w="959" w:type="dxa"/>
            <w:tcBorders>
              <w:top w:val="nil"/>
              <w:left w:val="nil"/>
              <w:bottom w:val="single" w:sz="8" w:space="0" w:color="B3CC82"/>
              <w:right w:val="single" w:sz="8" w:space="0" w:color="B3CC82"/>
            </w:tcBorders>
            <w:shd w:val="clear" w:color="000000" w:fill="E6EED5"/>
            <w:vAlign w:val="center"/>
            <w:hideMark/>
          </w:tcPr>
          <w:p w:rsidR="001A244F" w:rsidRPr="001A244F" w:rsidRDefault="001A244F" w:rsidP="001A244F">
            <w:pPr>
              <w:jc w:val="center"/>
              <w:rPr>
                <w:rFonts w:eastAsia="Times New Roman" w:cs="Calibri"/>
                <w:color w:val="000000"/>
                <w:sz w:val="16"/>
                <w:szCs w:val="16"/>
                <w:lang w:eastAsia="en-GB"/>
              </w:rPr>
            </w:pPr>
            <w:r w:rsidRPr="001A244F">
              <w:rPr>
                <w:rFonts w:eastAsia="Times New Roman" w:cs="Calibri"/>
                <w:color w:val="000000"/>
                <w:sz w:val="16"/>
                <w:szCs w:val="16"/>
                <w:lang w:eastAsia="en-GB"/>
              </w:rPr>
              <w:t>Jan-19</w:t>
            </w:r>
          </w:p>
        </w:tc>
        <w:tc>
          <w:tcPr>
            <w:tcW w:w="1037" w:type="dxa"/>
            <w:tcBorders>
              <w:top w:val="nil"/>
              <w:left w:val="nil"/>
              <w:bottom w:val="single" w:sz="8" w:space="0" w:color="B3CC82"/>
              <w:right w:val="single" w:sz="8" w:space="0" w:color="B3CC82"/>
            </w:tcBorders>
            <w:shd w:val="clear" w:color="000000" w:fill="E6EED5"/>
            <w:vAlign w:val="center"/>
            <w:hideMark/>
          </w:tcPr>
          <w:p w:rsidR="001A244F" w:rsidRPr="001A244F" w:rsidRDefault="001A244F" w:rsidP="001A244F">
            <w:pPr>
              <w:jc w:val="right"/>
              <w:rPr>
                <w:rFonts w:eastAsia="Times New Roman" w:cs="Calibri"/>
                <w:color w:val="000000"/>
                <w:sz w:val="20"/>
                <w:szCs w:val="20"/>
                <w:lang w:eastAsia="en-GB"/>
              </w:rPr>
            </w:pPr>
            <w:r w:rsidRPr="001A244F">
              <w:rPr>
                <w:rFonts w:eastAsia="Times New Roman" w:cs="Calibri"/>
                <w:color w:val="000000"/>
                <w:sz w:val="20"/>
                <w:szCs w:val="20"/>
                <w:lang w:eastAsia="en-GB"/>
              </w:rPr>
              <w:t>£25,000</w:t>
            </w:r>
          </w:p>
        </w:tc>
        <w:tc>
          <w:tcPr>
            <w:tcW w:w="5297" w:type="dxa"/>
            <w:tcBorders>
              <w:top w:val="nil"/>
              <w:left w:val="nil"/>
              <w:bottom w:val="single" w:sz="8" w:space="0" w:color="B3CC82"/>
              <w:right w:val="single" w:sz="8" w:space="0" w:color="B3CC82"/>
            </w:tcBorders>
            <w:shd w:val="clear" w:color="000000" w:fill="E6EED5"/>
            <w:vAlign w:val="center"/>
            <w:hideMark/>
          </w:tcPr>
          <w:p w:rsidR="001A244F" w:rsidRPr="001A244F" w:rsidRDefault="001A244F" w:rsidP="001A244F">
            <w:pPr>
              <w:rPr>
                <w:rFonts w:eastAsia="Times New Roman" w:cs="Calibri"/>
                <w:color w:val="000000"/>
                <w:sz w:val="20"/>
                <w:szCs w:val="20"/>
                <w:lang w:eastAsia="en-GB"/>
              </w:rPr>
            </w:pPr>
            <w:r w:rsidRPr="001A244F">
              <w:rPr>
                <w:rFonts w:eastAsia="Times New Roman" w:cs="Calibri"/>
                <w:color w:val="000000"/>
                <w:sz w:val="20"/>
                <w:szCs w:val="20"/>
                <w:lang w:eastAsia="en-GB"/>
              </w:rPr>
              <w:t>Attendance to sessions, raised achievement</w:t>
            </w:r>
          </w:p>
        </w:tc>
      </w:tr>
      <w:tr w:rsidR="001A244F" w:rsidRPr="001A244F" w:rsidTr="001A244F">
        <w:trPr>
          <w:trHeight w:val="412"/>
        </w:trPr>
        <w:tc>
          <w:tcPr>
            <w:tcW w:w="6799" w:type="dxa"/>
            <w:tcBorders>
              <w:top w:val="nil"/>
              <w:left w:val="single" w:sz="8" w:space="0" w:color="B3CC82"/>
              <w:bottom w:val="single" w:sz="8" w:space="0" w:color="B3CC82"/>
              <w:right w:val="single" w:sz="8" w:space="0" w:color="B3CC82"/>
            </w:tcBorders>
            <w:shd w:val="clear" w:color="000000" w:fill="CDDDAC"/>
            <w:vAlign w:val="center"/>
            <w:hideMark/>
          </w:tcPr>
          <w:p w:rsidR="001A244F" w:rsidRPr="001A244F" w:rsidRDefault="001A244F" w:rsidP="001A244F">
            <w:pPr>
              <w:rPr>
                <w:rFonts w:eastAsia="Times New Roman" w:cs="Calibri"/>
                <w:color w:val="000000"/>
                <w:sz w:val="20"/>
                <w:szCs w:val="20"/>
                <w:lang w:eastAsia="en-GB"/>
              </w:rPr>
            </w:pPr>
            <w:r w:rsidRPr="001A244F">
              <w:rPr>
                <w:rFonts w:eastAsia="Times New Roman" w:cs="Calibri"/>
                <w:color w:val="000000"/>
                <w:sz w:val="20"/>
                <w:szCs w:val="20"/>
                <w:lang w:eastAsia="en-GB"/>
              </w:rPr>
              <w:t xml:space="preserve">43 Year 11students targeted for small group maths intervention sessions at various times run by DB &amp; ZH. </w:t>
            </w:r>
          </w:p>
        </w:tc>
        <w:tc>
          <w:tcPr>
            <w:tcW w:w="760" w:type="dxa"/>
            <w:tcBorders>
              <w:top w:val="nil"/>
              <w:left w:val="nil"/>
              <w:bottom w:val="single" w:sz="8" w:space="0" w:color="B3CC82"/>
              <w:right w:val="single" w:sz="8" w:space="0" w:color="B3CC82"/>
            </w:tcBorders>
            <w:shd w:val="clear" w:color="000000" w:fill="CDDDAC"/>
            <w:vAlign w:val="center"/>
            <w:hideMark/>
          </w:tcPr>
          <w:p w:rsidR="001A244F" w:rsidRPr="001A244F" w:rsidRDefault="001A244F" w:rsidP="001A244F">
            <w:pPr>
              <w:jc w:val="center"/>
              <w:rPr>
                <w:rFonts w:eastAsia="Times New Roman" w:cs="Calibri"/>
                <w:color w:val="000000"/>
                <w:sz w:val="20"/>
                <w:szCs w:val="20"/>
                <w:lang w:eastAsia="en-GB"/>
              </w:rPr>
            </w:pPr>
            <w:r w:rsidRPr="001A244F">
              <w:rPr>
                <w:rFonts w:eastAsia="Times New Roman" w:cs="Calibri"/>
                <w:color w:val="000000"/>
                <w:sz w:val="20"/>
                <w:szCs w:val="20"/>
                <w:lang w:eastAsia="en-GB"/>
              </w:rPr>
              <w:t>FJ</w:t>
            </w:r>
          </w:p>
        </w:tc>
        <w:tc>
          <w:tcPr>
            <w:tcW w:w="959" w:type="dxa"/>
            <w:tcBorders>
              <w:top w:val="nil"/>
              <w:left w:val="nil"/>
              <w:bottom w:val="single" w:sz="8" w:space="0" w:color="B3CC82"/>
              <w:right w:val="single" w:sz="8" w:space="0" w:color="B3CC82"/>
            </w:tcBorders>
            <w:shd w:val="clear" w:color="000000" w:fill="CDDDAC"/>
            <w:vAlign w:val="center"/>
            <w:hideMark/>
          </w:tcPr>
          <w:p w:rsidR="001A244F" w:rsidRPr="001A244F" w:rsidRDefault="001A244F" w:rsidP="001A244F">
            <w:pPr>
              <w:jc w:val="center"/>
              <w:rPr>
                <w:rFonts w:eastAsia="Times New Roman" w:cs="Calibri"/>
                <w:color w:val="000000"/>
                <w:sz w:val="16"/>
                <w:szCs w:val="16"/>
                <w:lang w:eastAsia="en-GB"/>
              </w:rPr>
            </w:pPr>
            <w:r w:rsidRPr="001A244F">
              <w:rPr>
                <w:rFonts w:eastAsia="Times New Roman" w:cs="Calibri"/>
                <w:color w:val="000000"/>
                <w:sz w:val="16"/>
                <w:szCs w:val="16"/>
                <w:lang w:eastAsia="en-GB"/>
              </w:rPr>
              <w:t>On going</w:t>
            </w:r>
          </w:p>
        </w:tc>
        <w:tc>
          <w:tcPr>
            <w:tcW w:w="1037" w:type="dxa"/>
            <w:tcBorders>
              <w:top w:val="nil"/>
              <w:left w:val="nil"/>
              <w:bottom w:val="single" w:sz="8" w:space="0" w:color="B3CC82"/>
              <w:right w:val="single" w:sz="8" w:space="0" w:color="B3CC82"/>
            </w:tcBorders>
            <w:shd w:val="clear" w:color="000000" w:fill="CDDDAC"/>
            <w:vAlign w:val="center"/>
            <w:hideMark/>
          </w:tcPr>
          <w:p w:rsidR="001A244F" w:rsidRPr="001A244F" w:rsidRDefault="001A244F" w:rsidP="001A244F">
            <w:pPr>
              <w:jc w:val="right"/>
              <w:rPr>
                <w:rFonts w:eastAsia="Times New Roman" w:cs="Calibri"/>
                <w:color w:val="000000"/>
                <w:sz w:val="20"/>
                <w:szCs w:val="20"/>
                <w:lang w:eastAsia="en-GB"/>
              </w:rPr>
            </w:pPr>
            <w:r w:rsidRPr="001A244F">
              <w:rPr>
                <w:rFonts w:eastAsia="Times New Roman" w:cs="Calibri"/>
                <w:color w:val="000000"/>
                <w:sz w:val="20"/>
                <w:szCs w:val="20"/>
                <w:lang w:eastAsia="en-GB"/>
              </w:rPr>
              <w:t>£26,000</w:t>
            </w:r>
          </w:p>
        </w:tc>
        <w:tc>
          <w:tcPr>
            <w:tcW w:w="5297" w:type="dxa"/>
            <w:tcBorders>
              <w:top w:val="nil"/>
              <w:left w:val="nil"/>
              <w:bottom w:val="single" w:sz="8" w:space="0" w:color="B3CC82"/>
              <w:right w:val="single" w:sz="8" w:space="0" w:color="B3CC82"/>
            </w:tcBorders>
            <w:shd w:val="clear" w:color="000000" w:fill="CDDDAC"/>
            <w:vAlign w:val="center"/>
            <w:hideMark/>
          </w:tcPr>
          <w:p w:rsidR="001A244F" w:rsidRPr="001A244F" w:rsidRDefault="001A244F" w:rsidP="001A244F">
            <w:pPr>
              <w:rPr>
                <w:rFonts w:eastAsia="Times New Roman" w:cs="Calibri"/>
                <w:color w:val="000000"/>
                <w:sz w:val="20"/>
                <w:szCs w:val="20"/>
                <w:lang w:eastAsia="en-GB"/>
              </w:rPr>
            </w:pPr>
            <w:r w:rsidRPr="001A244F">
              <w:rPr>
                <w:rFonts w:eastAsia="Times New Roman" w:cs="Calibri"/>
                <w:color w:val="000000"/>
                <w:sz w:val="20"/>
                <w:szCs w:val="20"/>
                <w:lang w:eastAsia="en-GB"/>
              </w:rPr>
              <w:t>Attendance to sessions, raised achievement</w:t>
            </w:r>
          </w:p>
        </w:tc>
      </w:tr>
      <w:tr w:rsidR="001A244F" w:rsidRPr="001A244F" w:rsidTr="001A244F">
        <w:trPr>
          <w:trHeight w:val="349"/>
        </w:trPr>
        <w:tc>
          <w:tcPr>
            <w:tcW w:w="6799" w:type="dxa"/>
            <w:tcBorders>
              <w:top w:val="nil"/>
              <w:left w:val="single" w:sz="8" w:space="0" w:color="B3CC82"/>
              <w:bottom w:val="nil"/>
              <w:right w:val="single" w:sz="8" w:space="0" w:color="B3CC82"/>
            </w:tcBorders>
            <w:shd w:val="clear" w:color="000000" w:fill="EAF1DD"/>
            <w:vAlign w:val="center"/>
            <w:hideMark/>
          </w:tcPr>
          <w:p w:rsidR="001A244F" w:rsidRPr="001A244F" w:rsidRDefault="001A244F" w:rsidP="001A244F">
            <w:pPr>
              <w:rPr>
                <w:rFonts w:eastAsia="Times New Roman" w:cs="Calibri"/>
                <w:color w:val="000000"/>
                <w:sz w:val="20"/>
                <w:szCs w:val="20"/>
                <w:lang w:eastAsia="en-GB"/>
              </w:rPr>
            </w:pPr>
            <w:r w:rsidRPr="001A244F">
              <w:rPr>
                <w:rFonts w:eastAsia="Times New Roman" w:cs="Calibri"/>
                <w:color w:val="000000"/>
                <w:sz w:val="20"/>
                <w:szCs w:val="20"/>
                <w:lang w:eastAsia="en-GB"/>
              </w:rPr>
              <w:t>Year 7 &amp; 8 SEND booster sessions using the Nessie programme and Numeracy Ninja programme (literacy and numeracy)</w:t>
            </w:r>
          </w:p>
        </w:tc>
        <w:tc>
          <w:tcPr>
            <w:tcW w:w="760" w:type="dxa"/>
            <w:tcBorders>
              <w:top w:val="nil"/>
              <w:left w:val="nil"/>
              <w:bottom w:val="single" w:sz="8" w:space="0" w:color="B3CC82"/>
              <w:right w:val="single" w:sz="8" w:space="0" w:color="B3CC82"/>
            </w:tcBorders>
            <w:shd w:val="clear" w:color="000000" w:fill="EAF1DD"/>
            <w:vAlign w:val="center"/>
            <w:hideMark/>
          </w:tcPr>
          <w:p w:rsidR="001A244F" w:rsidRPr="001A244F" w:rsidRDefault="001A244F" w:rsidP="001A244F">
            <w:pPr>
              <w:jc w:val="center"/>
              <w:rPr>
                <w:rFonts w:eastAsia="Times New Roman" w:cs="Calibri"/>
                <w:color w:val="000000"/>
                <w:sz w:val="20"/>
                <w:szCs w:val="20"/>
                <w:lang w:eastAsia="en-GB"/>
              </w:rPr>
            </w:pPr>
            <w:r w:rsidRPr="001A244F">
              <w:rPr>
                <w:rFonts w:eastAsia="Times New Roman" w:cs="Calibri"/>
                <w:color w:val="000000"/>
                <w:sz w:val="20"/>
                <w:szCs w:val="20"/>
                <w:lang w:eastAsia="en-GB"/>
              </w:rPr>
              <w:t>KL</w:t>
            </w:r>
          </w:p>
        </w:tc>
        <w:tc>
          <w:tcPr>
            <w:tcW w:w="959" w:type="dxa"/>
            <w:tcBorders>
              <w:top w:val="nil"/>
              <w:left w:val="nil"/>
              <w:bottom w:val="single" w:sz="8" w:space="0" w:color="B3CC82"/>
              <w:right w:val="single" w:sz="8" w:space="0" w:color="B3CC82"/>
            </w:tcBorders>
            <w:shd w:val="clear" w:color="000000" w:fill="EAF1DD"/>
            <w:vAlign w:val="center"/>
            <w:hideMark/>
          </w:tcPr>
          <w:p w:rsidR="001A244F" w:rsidRPr="001A244F" w:rsidRDefault="001A244F" w:rsidP="001A244F">
            <w:pPr>
              <w:jc w:val="center"/>
              <w:rPr>
                <w:rFonts w:eastAsia="Times New Roman" w:cs="Calibri"/>
                <w:color w:val="000000"/>
                <w:sz w:val="16"/>
                <w:szCs w:val="16"/>
                <w:lang w:eastAsia="en-GB"/>
              </w:rPr>
            </w:pPr>
            <w:r w:rsidRPr="001A244F">
              <w:rPr>
                <w:rFonts w:eastAsia="Times New Roman" w:cs="Calibri"/>
                <w:color w:val="000000"/>
                <w:sz w:val="16"/>
                <w:szCs w:val="16"/>
                <w:lang w:eastAsia="en-GB"/>
              </w:rPr>
              <w:t>On going</w:t>
            </w:r>
          </w:p>
        </w:tc>
        <w:tc>
          <w:tcPr>
            <w:tcW w:w="1037" w:type="dxa"/>
            <w:tcBorders>
              <w:top w:val="nil"/>
              <w:left w:val="nil"/>
              <w:bottom w:val="single" w:sz="8" w:space="0" w:color="B3CC82"/>
              <w:right w:val="single" w:sz="8" w:space="0" w:color="B3CC82"/>
            </w:tcBorders>
            <w:shd w:val="clear" w:color="000000" w:fill="EAF1DD"/>
            <w:vAlign w:val="center"/>
            <w:hideMark/>
          </w:tcPr>
          <w:p w:rsidR="001A244F" w:rsidRPr="001A244F" w:rsidRDefault="001A244F" w:rsidP="001A244F">
            <w:pPr>
              <w:jc w:val="right"/>
              <w:rPr>
                <w:rFonts w:eastAsia="Times New Roman" w:cs="Calibri"/>
                <w:color w:val="000000"/>
                <w:sz w:val="20"/>
                <w:szCs w:val="20"/>
                <w:lang w:eastAsia="en-GB"/>
              </w:rPr>
            </w:pPr>
            <w:r w:rsidRPr="001A244F">
              <w:rPr>
                <w:rFonts w:eastAsia="Times New Roman" w:cs="Calibri"/>
                <w:color w:val="000000"/>
                <w:sz w:val="20"/>
                <w:szCs w:val="20"/>
                <w:lang w:eastAsia="en-GB"/>
              </w:rPr>
              <w:t>£7,000</w:t>
            </w:r>
          </w:p>
        </w:tc>
        <w:tc>
          <w:tcPr>
            <w:tcW w:w="5297" w:type="dxa"/>
            <w:tcBorders>
              <w:top w:val="nil"/>
              <w:left w:val="nil"/>
              <w:bottom w:val="single" w:sz="8" w:space="0" w:color="B3CC82"/>
              <w:right w:val="single" w:sz="8" w:space="0" w:color="B3CC82"/>
            </w:tcBorders>
            <w:shd w:val="clear" w:color="000000" w:fill="EAF1DD"/>
            <w:vAlign w:val="center"/>
            <w:hideMark/>
          </w:tcPr>
          <w:p w:rsidR="001A244F" w:rsidRPr="001A244F" w:rsidRDefault="001A244F" w:rsidP="001A244F">
            <w:pPr>
              <w:rPr>
                <w:rFonts w:eastAsia="Times New Roman" w:cs="Calibri"/>
                <w:color w:val="000000"/>
                <w:sz w:val="20"/>
                <w:szCs w:val="20"/>
                <w:lang w:eastAsia="en-GB"/>
              </w:rPr>
            </w:pPr>
            <w:r w:rsidRPr="001A244F">
              <w:rPr>
                <w:rFonts w:eastAsia="Times New Roman" w:cs="Calibri"/>
                <w:color w:val="000000"/>
                <w:sz w:val="20"/>
                <w:szCs w:val="20"/>
                <w:lang w:eastAsia="en-GB"/>
              </w:rPr>
              <w:t>Attendance to sessions, raised achievement</w:t>
            </w:r>
          </w:p>
        </w:tc>
      </w:tr>
      <w:tr w:rsidR="001A244F" w:rsidRPr="001A244F" w:rsidTr="001A244F">
        <w:trPr>
          <w:trHeight w:val="285"/>
        </w:trPr>
        <w:tc>
          <w:tcPr>
            <w:tcW w:w="6799" w:type="dxa"/>
            <w:tcBorders>
              <w:top w:val="nil"/>
              <w:left w:val="single" w:sz="8" w:space="0" w:color="B3CC82"/>
              <w:bottom w:val="single" w:sz="8" w:space="0" w:color="B3CC82"/>
              <w:right w:val="single" w:sz="8" w:space="0" w:color="B3CC82"/>
            </w:tcBorders>
            <w:shd w:val="clear" w:color="000000" w:fill="C2D69B"/>
            <w:vAlign w:val="center"/>
            <w:hideMark/>
          </w:tcPr>
          <w:p w:rsidR="001A244F" w:rsidRPr="001A244F" w:rsidRDefault="001A244F" w:rsidP="001A244F">
            <w:pPr>
              <w:rPr>
                <w:rFonts w:eastAsia="Times New Roman" w:cs="Calibri"/>
                <w:color w:val="000000"/>
                <w:sz w:val="20"/>
                <w:szCs w:val="20"/>
                <w:lang w:eastAsia="en-GB"/>
              </w:rPr>
            </w:pPr>
            <w:r w:rsidRPr="001A244F">
              <w:rPr>
                <w:rFonts w:eastAsia="Times New Roman" w:cs="Calibri"/>
                <w:color w:val="000000"/>
                <w:sz w:val="20"/>
                <w:szCs w:val="20"/>
                <w:lang w:eastAsia="en-GB"/>
              </w:rPr>
              <w:t>Small group maths tutoring by teachers to support June entry.</w:t>
            </w:r>
          </w:p>
        </w:tc>
        <w:tc>
          <w:tcPr>
            <w:tcW w:w="760" w:type="dxa"/>
            <w:tcBorders>
              <w:top w:val="nil"/>
              <w:left w:val="nil"/>
              <w:bottom w:val="single" w:sz="8" w:space="0" w:color="B3CC82"/>
              <w:right w:val="single" w:sz="8" w:space="0" w:color="B3CC82"/>
            </w:tcBorders>
            <w:shd w:val="clear" w:color="000000" w:fill="C2D69B"/>
            <w:vAlign w:val="center"/>
            <w:hideMark/>
          </w:tcPr>
          <w:p w:rsidR="001A244F" w:rsidRPr="001A244F" w:rsidRDefault="001A244F" w:rsidP="001A244F">
            <w:pPr>
              <w:jc w:val="center"/>
              <w:rPr>
                <w:rFonts w:eastAsia="Times New Roman" w:cs="Calibri"/>
                <w:color w:val="000000"/>
                <w:sz w:val="20"/>
                <w:szCs w:val="20"/>
                <w:lang w:eastAsia="en-GB"/>
              </w:rPr>
            </w:pPr>
            <w:r w:rsidRPr="001A244F">
              <w:rPr>
                <w:rFonts w:eastAsia="Times New Roman" w:cs="Calibri"/>
                <w:color w:val="000000"/>
                <w:sz w:val="20"/>
                <w:szCs w:val="20"/>
                <w:lang w:eastAsia="en-GB"/>
              </w:rPr>
              <w:t>FJ</w:t>
            </w:r>
          </w:p>
        </w:tc>
        <w:tc>
          <w:tcPr>
            <w:tcW w:w="959" w:type="dxa"/>
            <w:tcBorders>
              <w:top w:val="nil"/>
              <w:left w:val="nil"/>
              <w:bottom w:val="single" w:sz="8" w:space="0" w:color="B3CC82"/>
              <w:right w:val="single" w:sz="8" w:space="0" w:color="B3CC82"/>
            </w:tcBorders>
            <w:shd w:val="clear" w:color="000000" w:fill="C2D69B"/>
            <w:vAlign w:val="center"/>
            <w:hideMark/>
          </w:tcPr>
          <w:p w:rsidR="001A244F" w:rsidRPr="001A244F" w:rsidRDefault="001A244F" w:rsidP="001A244F">
            <w:pPr>
              <w:jc w:val="center"/>
              <w:rPr>
                <w:rFonts w:eastAsia="Times New Roman" w:cs="Calibri"/>
                <w:color w:val="000000"/>
                <w:sz w:val="16"/>
                <w:szCs w:val="16"/>
                <w:lang w:eastAsia="en-GB"/>
              </w:rPr>
            </w:pPr>
            <w:r w:rsidRPr="001A244F">
              <w:rPr>
                <w:rFonts w:eastAsia="Times New Roman" w:cs="Calibri"/>
                <w:color w:val="000000"/>
                <w:sz w:val="16"/>
                <w:szCs w:val="16"/>
                <w:lang w:eastAsia="en-GB"/>
              </w:rPr>
              <w:t>Sep-18</w:t>
            </w:r>
          </w:p>
        </w:tc>
        <w:tc>
          <w:tcPr>
            <w:tcW w:w="1037" w:type="dxa"/>
            <w:tcBorders>
              <w:top w:val="nil"/>
              <w:left w:val="nil"/>
              <w:bottom w:val="single" w:sz="8" w:space="0" w:color="B3CC82"/>
              <w:right w:val="single" w:sz="8" w:space="0" w:color="B3CC82"/>
            </w:tcBorders>
            <w:shd w:val="clear" w:color="000000" w:fill="C2D69B"/>
            <w:vAlign w:val="center"/>
            <w:hideMark/>
          </w:tcPr>
          <w:p w:rsidR="001A244F" w:rsidRPr="001A244F" w:rsidRDefault="001A244F" w:rsidP="001A244F">
            <w:pPr>
              <w:jc w:val="right"/>
              <w:rPr>
                <w:rFonts w:eastAsia="Times New Roman" w:cs="Calibri"/>
                <w:color w:val="000000"/>
                <w:sz w:val="20"/>
                <w:szCs w:val="20"/>
                <w:lang w:eastAsia="en-GB"/>
              </w:rPr>
            </w:pPr>
            <w:r w:rsidRPr="001A244F">
              <w:rPr>
                <w:rFonts w:eastAsia="Times New Roman" w:cs="Calibri"/>
                <w:color w:val="000000"/>
                <w:sz w:val="20"/>
                <w:szCs w:val="20"/>
                <w:lang w:eastAsia="en-GB"/>
              </w:rPr>
              <w:t>£5,000</w:t>
            </w:r>
          </w:p>
        </w:tc>
        <w:tc>
          <w:tcPr>
            <w:tcW w:w="5297" w:type="dxa"/>
            <w:tcBorders>
              <w:top w:val="nil"/>
              <w:left w:val="nil"/>
              <w:bottom w:val="single" w:sz="8" w:space="0" w:color="B3CC82"/>
              <w:right w:val="single" w:sz="8" w:space="0" w:color="B3CC82"/>
            </w:tcBorders>
            <w:shd w:val="clear" w:color="000000" w:fill="C2D69B"/>
            <w:vAlign w:val="center"/>
            <w:hideMark/>
          </w:tcPr>
          <w:p w:rsidR="001A244F" w:rsidRPr="001A244F" w:rsidRDefault="001A244F" w:rsidP="001A244F">
            <w:pPr>
              <w:rPr>
                <w:rFonts w:eastAsia="Times New Roman" w:cs="Calibri"/>
                <w:color w:val="000000"/>
                <w:sz w:val="20"/>
                <w:szCs w:val="20"/>
                <w:lang w:eastAsia="en-GB"/>
              </w:rPr>
            </w:pPr>
            <w:r w:rsidRPr="001A244F">
              <w:rPr>
                <w:rFonts w:eastAsia="Times New Roman" w:cs="Calibri"/>
                <w:color w:val="000000"/>
                <w:sz w:val="20"/>
                <w:szCs w:val="20"/>
                <w:lang w:eastAsia="en-GB"/>
              </w:rPr>
              <w:t>Attendance to sessions, raised achievement</w:t>
            </w:r>
          </w:p>
        </w:tc>
      </w:tr>
      <w:tr w:rsidR="001A244F" w:rsidRPr="001A244F" w:rsidTr="001A244F">
        <w:trPr>
          <w:trHeight w:val="274"/>
        </w:trPr>
        <w:tc>
          <w:tcPr>
            <w:tcW w:w="6799" w:type="dxa"/>
            <w:tcBorders>
              <w:top w:val="nil"/>
              <w:left w:val="single" w:sz="8" w:space="0" w:color="B3CC82"/>
              <w:bottom w:val="single" w:sz="8" w:space="0" w:color="B3CC82"/>
              <w:right w:val="single" w:sz="8" w:space="0" w:color="B3CC82"/>
            </w:tcBorders>
            <w:shd w:val="clear" w:color="000000" w:fill="E6EED5"/>
            <w:vAlign w:val="center"/>
            <w:hideMark/>
          </w:tcPr>
          <w:p w:rsidR="001A244F" w:rsidRPr="001A244F" w:rsidRDefault="001A244F" w:rsidP="001A244F">
            <w:pPr>
              <w:rPr>
                <w:rFonts w:eastAsia="Times New Roman" w:cs="Calibri"/>
                <w:color w:val="000000"/>
                <w:sz w:val="20"/>
                <w:szCs w:val="20"/>
                <w:lang w:eastAsia="en-GB"/>
              </w:rPr>
            </w:pPr>
            <w:r w:rsidRPr="001A244F">
              <w:rPr>
                <w:rFonts w:eastAsia="Times New Roman" w:cs="Calibri"/>
                <w:color w:val="000000"/>
                <w:sz w:val="20"/>
                <w:szCs w:val="20"/>
                <w:lang w:eastAsia="en-GB"/>
              </w:rPr>
              <w:t>Booster sessions for literacy and numeracy</w:t>
            </w:r>
          </w:p>
        </w:tc>
        <w:tc>
          <w:tcPr>
            <w:tcW w:w="760" w:type="dxa"/>
            <w:tcBorders>
              <w:top w:val="nil"/>
              <w:left w:val="nil"/>
              <w:bottom w:val="single" w:sz="8" w:space="0" w:color="B3CC82"/>
              <w:right w:val="single" w:sz="8" w:space="0" w:color="B3CC82"/>
            </w:tcBorders>
            <w:shd w:val="clear" w:color="000000" w:fill="E6EED5"/>
            <w:vAlign w:val="center"/>
            <w:hideMark/>
          </w:tcPr>
          <w:p w:rsidR="001A244F" w:rsidRPr="001A244F" w:rsidRDefault="001A244F" w:rsidP="001A244F">
            <w:pPr>
              <w:jc w:val="center"/>
              <w:rPr>
                <w:rFonts w:eastAsia="Times New Roman" w:cs="Calibri"/>
                <w:color w:val="000000"/>
                <w:sz w:val="16"/>
                <w:szCs w:val="16"/>
                <w:lang w:eastAsia="en-GB"/>
              </w:rPr>
            </w:pPr>
            <w:r w:rsidRPr="001A244F">
              <w:rPr>
                <w:rFonts w:eastAsia="Times New Roman" w:cs="Calibri"/>
                <w:color w:val="000000"/>
                <w:sz w:val="16"/>
                <w:szCs w:val="16"/>
                <w:lang w:eastAsia="en-GB"/>
              </w:rPr>
              <w:t>KL / GW / FJ</w:t>
            </w:r>
          </w:p>
        </w:tc>
        <w:tc>
          <w:tcPr>
            <w:tcW w:w="959" w:type="dxa"/>
            <w:tcBorders>
              <w:top w:val="nil"/>
              <w:left w:val="nil"/>
              <w:bottom w:val="single" w:sz="8" w:space="0" w:color="B3CC82"/>
              <w:right w:val="single" w:sz="8" w:space="0" w:color="B3CC82"/>
            </w:tcBorders>
            <w:shd w:val="clear" w:color="000000" w:fill="E6EED5"/>
            <w:vAlign w:val="center"/>
            <w:hideMark/>
          </w:tcPr>
          <w:p w:rsidR="001A244F" w:rsidRPr="001A244F" w:rsidRDefault="001A244F" w:rsidP="001A244F">
            <w:pPr>
              <w:jc w:val="center"/>
              <w:rPr>
                <w:rFonts w:eastAsia="Times New Roman" w:cs="Calibri"/>
                <w:color w:val="000000"/>
                <w:sz w:val="16"/>
                <w:szCs w:val="16"/>
                <w:lang w:eastAsia="en-GB"/>
              </w:rPr>
            </w:pPr>
            <w:r w:rsidRPr="001A244F">
              <w:rPr>
                <w:rFonts w:eastAsia="Times New Roman" w:cs="Calibri"/>
                <w:color w:val="000000"/>
                <w:sz w:val="16"/>
                <w:szCs w:val="16"/>
                <w:lang w:eastAsia="en-GB"/>
              </w:rPr>
              <w:t>On going</w:t>
            </w:r>
          </w:p>
        </w:tc>
        <w:tc>
          <w:tcPr>
            <w:tcW w:w="1037" w:type="dxa"/>
            <w:tcBorders>
              <w:top w:val="nil"/>
              <w:left w:val="nil"/>
              <w:bottom w:val="single" w:sz="8" w:space="0" w:color="B3CC82"/>
              <w:right w:val="single" w:sz="8" w:space="0" w:color="B3CC82"/>
            </w:tcBorders>
            <w:shd w:val="clear" w:color="000000" w:fill="E6EED5"/>
            <w:vAlign w:val="center"/>
            <w:hideMark/>
          </w:tcPr>
          <w:p w:rsidR="001A244F" w:rsidRPr="001A244F" w:rsidRDefault="001A244F" w:rsidP="001A244F">
            <w:pPr>
              <w:jc w:val="right"/>
              <w:rPr>
                <w:rFonts w:eastAsia="Times New Roman" w:cs="Calibri"/>
                <w:color w:val="000000"/>
                <w:sz w:val="20"/>
                <w:szCs w:val="20"/>
                <w:lang w:eastAsia="en-GB"/>
              </w:rPr>
            </w:pPr>
            <w:r w:rsidRPr="001A244F">
              <w:rPr>
                <w:rFonts w:eastAsia="Times New Roman" w:cs="Calibri"/>
                <w:color w:val="000000"/>
                <w:sz w:val="20"/>
                <w:szCs w:val="20"/>
                <w:lang w:eastAsia="en-GB"/>
              </w:rPr>
              <w:t>£8,000</w:t>
            </w:r>
          </w:p>
        </w:tc>
        <w:tc>
          <w:tcPr>
            <w:tcW w:w="5297" w:type="dxa"/>
            <w:tcBorders>
              <w:top w:val="nil"/>
              <w:left w:val="nil"/>
              <w:bottom w:val="single" w:sz="8" w:space="0" w:color="B3CC82"/>
              <w:right w:val="single" w:sz="8" w:space="0" w:color="B3CC82"/>
            </w:tcBorders>
            <w:shd w:val="clear" w:color="000000" w:fill="C2D69B"/>
            <w:vAlign w:val="center"/>
            <w:hideMark/>
          </w:tcPr>
          <w:p w:rsidR="001A244F" w:rsidRPr="001A244F" w:rsidRDefault="001A244F" w:rsidP="001A244F">
            <w:pPr>
              <w:rPr>
                <w:rFonts w:eastAsia="Times New Roman" w:cs="Calibri"/>
                <w:color w:val="000000"/>
                <w:sz w:val="20"/>
                <w:szCs w:val="20"/>
                <w:lang w:eastAsia="en-GB"/>
              </w:rPr>
            </w:pPr>
            <w:r w:rsidRPr="001A244F">
              <w:rPr>
                <w:rFonts w:eastAsia="Times New Roman" w:cs="Calibri"/>
                <w:color w:val="000000"/>
                <w:sz w:val="20"/>
                <w:szCs w:val="20"/>
                <w:lang w:eastAsia="en-GB"/>
              </w:rPr>
              <w:t>Attendance to sessions, raised achievement</w:t>
            </w:r>
          </w:p>
        </w:tc>
      </w:tr>
      <w:tr w:rsidR="001A244F" w:rsidRPr="001A244F" w:rsidTr="001A244F">
        <w:trPr>
          <w:trHeight w:val="309"/>
        </w:trPr>
        <w:tc>
          <w:tcPr>
            <w:tcW w:w="6799" w:type="dxa"/>
            <w:tcBorders>
              <w:top w:val="nil"/>
              <w:left w:val="single" w:sz="8" w:space="0" w:color="B3CC82"/>
              <w:bottom w:val="single" w:sz="8" w:space="0" w:color="B3CC82"/>
              <w:right w:val="single" w:sz="8" w:space="0" w:color="B3CC82"/>
            </w:tcBorders>
            <w:shd w:val="clear" w:color="000000" w:fill="CDDDAC"/>
            <w:vAlign w:val="center"/>
            <w:hideMark/>
          </w:tcPr>
          <w:p w:rsidR="001A244F" w:rsidRPr="001A244F" w:rsidRDefault="001A244F" w:rsidP="001A244F">
            <w:pPr>
              <w:rPr>
                <w:rFonts w:eastAsia="Times New Roman" w:cs="Calibri"/>
                <w:color w:val="000000"/>
                <w:sz w:val="20"/>
                <w:szCs w:val="20"/>
                <w:lang w:eastAsia="en-GB"/>
              </w:rPr>
            </w:pPr>
            <w:r w:rsidRPr="001A244F">
              <w:rPr>
                <w:rFonts w:eastAsia="Times New Roman" w:cs="Calibri"/>
                <w:color w:val="000000"/>
                <w:sz w:val="20"/>
                <w:szCs w:val="20"/>
                <w:lang w:eastAsia="en-GB"/>
              </w:rPr>
              <w:t>Paired reading programme for KS3</w:t>
            </w:r>
          </w:p>
        </w:tc>
        <w:tc>
          <w:tcPr>
            <w:tcW w:w="760" w:type="dxa"/>
            <w:tcBorders>
              <w:top w:val="nil"/>
              <w:left w:val="nil"/>
              <w:bottom w:val="single" w:sz="8" w:space="0" w:color="B3CC82"/>
              <w:right w:val="single" w:sz="8" w:space="0" w:color="B3CC82"/>
            </w:tcBorders>
            <w:shd w:val="clear" w:color="000000" w:fill="CDDDAC"/>
            <w:vAlign w:val="center"/>
            <w:hideMark/>
          </w:tcPr>
          <w:p w:rsidR="001A244F" w:rsidRPr="001A244F" w:rsidRDefault="001A244F" w:rsidP="001A244F">
            <w:pPr>
              <w:jc w:val="center"/>
              <w:rPr>
                <w:rFonts w:eastAsia="Times New Roman" w:cs="Calibri"/>
                <w:color w:val="000000"/>
                <w:sz w:val="20"/>
                <w:szCs w:val="20"/>
                <w:lang w:eastAsia="en-GB"/>
              </w:rPr>
            </w:pPr>
            <w:r w:rsidRPr="001A244F">
              <w:rPr>
                <w:rFonts w:eastAsia="Times New Roman" w:cs="Calibri"/>
                <w:color w:val="000000"/>
                <w:sz w:val="20"/>
                <w:szCs w:val="20"/>
                <w:lang w:eastAsia="en-GB"/>
              </w:rPr>
              <w:t>GW</w:t>
            </w:r>
          </w:p>
        </w:tc>
        <w:tc>
          <w:tcPr>
            <w:tcW w:w="959" w:type="dxa"/>
            <w:tcBorders>
              <w:top w:val="nil"/>
              <w:left w:val="nil"/>
              <w:bottom w:val="single" w:sz="8" w:space="0" w:color="B3CC82"/>
              <w:right w:val="single" w:sz="8" w:space="0" w:color="B3CC82"/>
            </w:tcBorders>
            <w:shd w:val="clear" w:color="000000" w:fill="CDDDAC"/>
            <w:vAlign w:val="center"/>
            <w:hideMark/>
          </w:tcPr>
          <w:p w:rsidR="001A244F" w:rsidRPr="001A244F" w:rsidRDefault="001A244F" w:rsidP="001A244F">
            <w:pPr>
              <w:jc w:val="center"/>
              <w:rPr>
                <w:rFonts w:eastAsia="Times New Roman" w:cs="Calibri"/>
                <w:color w:val="000000"/>
                <w:sz w:val="16"/>
                <w:szCs w:val="16"/>
                <w:lang w:eastAsia="en-GB"/>
              </w:rPr>
            </w:pPr>
            <w:r w:rsidRPr="001A244F">
              <w:rPr>
                <w:rFonts w:eastAsia="Times New Roman" w:cs="Calibri"/>
                <w:color w:val="000000"/>
                <w:sz w:val="16"/>
                <w:szCs w:val="16"/>
                <w:lang w:eastAsia="en-GB"/>
              </w:rPr>
              <w:t>On going</w:t>
            </w:r>
          </w:p>
        </w:tc>
        <w:tc>
          <w:tcPr>
            <w:tcW w:w="1037" w:type="dxa"/>
            <w:tcBorders>
              <w:top w:val="nil"/>
              <w:left w:val="nil"/>
              <w:bottom w:val="single" w:sz="8" w:space="0" w:color="B3CC82"/>
              <w:right w:val="single" w:sz="8" w:space="0" w:color="B3CC82"/>
            </w:tcBorders>
            <w:shd w:val="clear" w:color="000000" w:fill="CDDDAC"/>
            <w:vAlign w:val="center"/>
            <w:hideMark/>
          </w:tcPr>
          <w:p w:rsidR="001A244F" w:rsidRPr="001A244F" w:rsidRDefault="001A244F" w:rsidP="001A244F">
            <w:pPr>
              <w:jc w:val="right"/>
              <w:rPr>
                <w:rFonts w:eastAsia="Times New Roman" w:cs="Calibri"/>
                <w:color w:val="000000"/>
                <w:sz w:val="20"/>
                <w:szCs w:val="20"/>
                <w:lang w:eastAsia="en-GB"/>
              </w:rPr>
            </w:pPr>
            <w:r w:rsidRPr="001A244F">
              <w:rPr>
                <w:rFonts w:eastAsia="Times New Roman" w:cs="Calibri"/>
                <w:color w:val="000000"/>
                <w:sz w:val="20"/>
                <w:szCs w:val="20"/>
                <w:lang w:eastAsia="en-GB"/>
              </w:rPr>
              <w:t>£2,000</w:t>
            </w:r>
          </w:p>
        </w:tc>
        <w:tc>
          <w:tcPr>
            <w:tcW w:w="5297" w:type="dxa"/>
            <w:tcBorders>
              <w:top w:val="nil"/>
              <w:left w:val="nil"/>
              <w:bottom w:val="single" w:sz="8" w:space="0" w:color="B3CC82"/>
              <w:right w:val="single" w:sz="8" w:space="0" w:color="B3CC82"/>
            </w:tcBorders>
            <w:shd w:val="clear" w:color="000000" w:fill="CDDDAC"/>
            <w:vAlign w:val="center"/>
            <w:hideMark/>
          </w:tcPr>
          <w:p w:rsidR="001A244F" w:rsidRPr="001A244F" w:rsidRDefault="001A244F" w:rsidP="001A244F">
            <w:pPr>
              <w:rPr>
                <w:rFonts w:eastAsia="Times New Roman" w:cs="Calibri"/>
                <w:color w:val="000000"/>
                <w:sz w:val="20"/>
                <w:szCs w:val="20"/>
                <w:lang w:eastAsia="en-GB"/>
              </w:rPr>
            </w:pPr>
            <w:r w:rsidRPr="001A244F">
              <w:rPr>
                <w:rFonts w:eastAsia="Times New Roman" w:cs="Calibri"/>
                <w:color w:val="000000"/>
                <w:sz w:val="20"/>
                <w:szCs w:val="20"/>
                <w:lang w:eastAsia="en-GB"/>
              </w:rPr>
              <w:t>Improved reading age, raised achievement</w:t>
            </w:r>
          </w:p>
        </w:tc>
      </w:tr>
      <w:tr w:rsidR="001A244F" w:rsidRPr="001A244F" w:rsidTr="001A244F">
        <w:trPr>
          <w:trHeight w:val="257"/>
        </w:trPr>
        <w:tc>
          <w:tcPr>
            <w:tcW w:w="6799" w:type="dxa"/>
            <w:tcBorders>
              <w:top w:val="nil"/>
              <w:left w:val="single" w:sz="8" w:space="0" w:color="B3CC82"/>
              <w:bottom w:val="single" w:sz="8" w:space="0" w:color="B3CC82"/>
              <w:right w:val="single" w:sz="8" w:space="0" w:color="B3CC82"/>
            </w:tcBorders>
            <w:shd w:val="clear" w:color="000000" w:fill="E6EED5"/>
            <w:vAlign w:val="center"/>
            <w:hideMark/>
          </w:tcPr>
          <w:p w:rsidR="001A244F" w:rsidRPr="001A244F" w:rsidRDefault="001A244F" w:rsidP="001A244F">
            <w:pPr>
              <w:rPr>
                <w:rFonts w:eastAsia="Times New Roman" w:cs="Calibri"/>
                <w:color w:val="000000"/>
                <w:sz w:val="20"/>
                <w:szCs w:val="20"/>
                <w:lang w:eastAsia="en-GB"/>
              </w:rPr>
            </w:pPr>
            <w:r w:rsidRPr="001A244F">
              <w:rPr>
                <w:rFonts w:eastAsia="Times New Roman" w:cs="Calibri"/>
                <w:color w:val="000000"/>
                <w:sz w:val="20"/>
                <w:szCs w:val="20"/>
                <w:lang w:eastAsia="en-GB"/>
              </w:rPr>
              <w:t xml:space="preserve">Year 7 Social Skills programme </w:t>
            </w:r>
          </w:p>
        </w:tc>
        <w:tc>
          <w:tcPr>
            <w:tcW w:w="760" w:type="dxa"/>
            <w:tcBorders>
              <w:top w:val="nil"/>
              <w:left w:val="nil"/>
              <w:bottom w:val="single" w:sz="8" w:space="0" w:color="B3CC82"/>
              <w:right w:val="single" w:sz="8" w:space="0" w:color="B3CC82"/>
            </w:tcBorders>
            <w:shd w:val="clear" w:color="000000" w:fill="E6EED5"/>
            <w:vAlign w:val="center"/>
            <w:hideMark/>
          </w:tcPr>
          <w:p w:rsidR="001A244F" w:rsidRPr="001A244F" w:rsidRDefault="001A244F" w:rsidP="001A244F">
            <w:pPr>
              <w:jc w:val="center"/>
              <w:rPr>
                <w:rFonts w:eastAsia="Times New Roman" w:cs="Calibri"/>
                <w:color w:val="000000"/>
                <w:sz w:val="20"/>
                <w:szCs w:val="20"/>
                <w:lang w:eastAsia="en-GB"/>
              </w:rPr>
            </w:pPr>
            <w:r w:rsidRPr="001A244F">
              <w:rPr>
                <w:rFonts w:eastAsia="Times New Roman" w:cs="Calibri"/>
                <w:color w:val="000000"/>
                <w:sz w:val="20"/>
                <w:szCs w:val="20"/>
                <w:lang w:eastAsia="en-GB"/>
              </w:rPr>
              <w:t>KL</w:t>
            </w:r>
          </w:p>
        </w:tc>
        <w:tc>
          <w:tcPr>
            <w:tcW w:w="959" w:type="dxa"/>
            <w:tcBorders>
              <w:top w:val="nil"/>
              <w:left w:val="nil"/>
              <w:bottom w:val="single" w:sz="8" w:space="0" w:color="B3CC82"/>
              <w:right w:val="single" w:sz="8" w:space="0" w:color="B3CC82"/>
            </w:tcBorders>
            <w:shd w:val="clear" w:color="000000" w:fill="E6EED5"/>
            <w:vAlign w:val="center"/>
            <w:hideMark/>
          </w:tcPr>
          <w:p w:rsidR="001A244F" w:rsidRPr="001A244F" w:rsidRDefault="001A244F" w:rsidP="001A244F">
            <w:pPr>
              <w:jc w:val="center"/>
              <w:rPr>
                <w:rFonts w:eastAsia="Times New Roman" w:cs="Calibri"/>
                <w:color w:val="000000"/>
                <w:sz w:val="16"/>
                <w:szCs w:val="16"/>
                <w:lang w:eastAsia="en-GB"/>
              </w:rPr>
            </w:pPr>
            <w:r w:rsidRPr="001A244F">
              <w:rPr>
                <w:rFonts w:eastAsia="Times New Roman" w:cs="Calibri"/>
                <w:color w:val="000000"/>
                <w:sz w:val="16"/>
                <w:szCs w:val="16"/>
                <w:lang w:eastAsia="en-GB"/>
              </w:rPr>
              <w:t>On going</w:t>
            </w:r>
          </w:p>
        </w:tc>
        <w:tc>
          <w:tcPr>
            <w:tcW w:w="1037" w:type="dxa"/>
            <w:tcBorders>
              <w:top w:val="nil"/>
              <w:left w:val="nil"/>
              <w:bottom w:val="single" w:sz="8" w:space="0" w:color="B3CC82"/>
              <w:right w:val="single" w:sz="8" w:space="0" w:color="B3CC82"/>
            </w:tcBorders>
            <w:shd w:val="clear" w:color="000000" w:fill="E6EED5"/>
            <w:vAlign w:val="center"/>
            <w:hideMark/>
          </w:tcPr>
          <w:p w:rsidR="001A244F" w:rsidRPr="001A244F" w:rsidRDefault="001A244F" w:rsidP="001A244F">
            <w:pPr>
              <w:jc w:val="right"/>
              <w:rPr>
                <w:rFonts w:eastAsia="Times New Roman" w:cs="Calibri"/>
                <w:color w:val="000000"/>
                <w:sz w:val="20"/>
                <w:szCs w:val="20"/>
                <w:lang w:eastAsia="en-GB"/>
              </w:rPr>
            </w:pPr>
            <w:r w:rsidRPr="001A244F">
              <w:rPr>
                <w:rFonts w:eastAsia="Times New Roman" w:cs="Calibri"/>
                <w:color w:val="000000"/>
                <w:sz w:val="20"/>
                <w:szCs w:val="20"/>
                <w:lang w:eastAsia="en-GB"/>
              </w:rPr>
              <w:t>£1,000</w:t>
            </w:r>
          </w:p>
        </w:tc>
        <w:tc>
          <w:tcPr>
            <w:tcW w:w="5297" w:type="dxa"/>
            <w:tcBorders>
              <w:top w:val="nil"/>
              <w:left w:val="nil"/>
              <w:bottom w:val="single" w:sz="8" w:space="0" w:color="B3CC82"/>
              <w:right w:val="single" w:sz="8" w:space="0" w:color="B3CC82"/>
            </w:tcBorders>
            <w:shd w:val="clear" w:color="000000" w:fill="CDDDAC"/>
            <w:vAlign w:val="center"/>
            <w:hideMark/>
          </w:tcPr>
          <w:p w:rsidR="001A244F" w:rsidRPr="001A244F" w:rsidRDefault="001A244F" w:rsidP="001A244F">
            <w:pPr>
              <w:rPr>
                <w:rFonts w:eastAsia="Times New Roman" w:cs="Calibri"/>
                <w:color w:val="000000"/>
                <w:sz w:val="20"/>
                <w:szCs w:val="20"/>
                <w:lang w:eastAsia="en-GB"/>
              </w:rPr>
            </w:pPr>
            <w:r w:rsidRPr="001A244F">
              <w:rPr>
                <w:rFonts w:eastAsia="Times New Roman" w:cs="Calibri"/>
                <w:color w:val="000000"/>
                <w:sz w:val="20"/>
                <w:szCs w:val="20"/>
                <w:lang w:eastAsia="en-GB"/>
              </w:rPr>
              <w:t>Improved confidence/mental well-being, raised achievement</w:t>
            </w:r>
          </w:p>
        </w:tc>
      </w:tr>
      <w:tr w:rsidR="001A244F" w:rsidRPr="001A244F" w:rsidTr="001A244F">
        <w:trPr>
          <w:trHeight w:val="260"/>
        </w:trPr>
        <w:tc>
          <w:tcPr>
            <w:tcW w:w="6799" w:type="dxa"/>
            <w:tcBorders>
              <w:top w:val="nil"/>
              <w:left w:val="single" w:sz="8" w:space="0" w:color="B3CC82"/>
              <w:bottom w:val="single" w:sz="8" w:space="0" w:color="B3CC82"/>
              <w:right w:val="single" w:sz="8" w:space="0" w:color="B3CC82"/>
            </w:tcBorders>
            <w:shd w:val="clear" w:color="000000" w:fill="CDDDAC"/>
            <w:vAlign w:val="center"/>
            <w:hideMark/>
          </w:tcPr>
          <w:p w:rsidR="001A244F" w:rsidRPr="001A244F" w:rsidRDefault="001A244F" w:rsidP="001A244F">
            <w:pPr>
              <w:rPr>
                <w:rFonts w:eastAsia="Times New Roman" w:cs="Calibri"/>
                <w:color w:val="000000"/>
                <w:sz w:val="20"/>
                <w:szCs w:val="20"/>
                <w:lang w:eastAsia="en-GB"/>
              </w:rPr>
            </w:pPr>
            <w:r w:rsidRPr="001A244F">
              <w:rPr>
                <w:rFonts w:eastAsia="Times New Roman" w:cs="Calibri"/>
                <w:color w:val="000000"/>
                <w:sz w:val="20"/>
                <w:szCs w:val="20"/>
                <w:lang w:eastAsia="en-GB"/>
              </w:rPr>
              <w:t>Accelerated reading programme</w:t>
            </w:r>
          </w:p>
        </w:tc>
        <w:tc>
          <w:tcPr>
            <w:tcW w:w="760" w:type="dxa"/>
            <w:tcBorders>
              <w:top w:val="nil"/>
              <w:left w:val="nil"/>
              <w:bottom w:val="single" w:sz="8" w:space="0" w:color="B3CC82"/>
              <w:right w:val="single" w:sz="8" w:space="0" w:color="B3CC82"/>
            </w:tcBorders>
            <w:shd w:val="clear" w:color="000000" w:fill="CDDDAC"/>
            <w:vAlign w:val="center"/>
            <w:hideMark/>
          </w:tcPr>
          <w:p w:rsidR="001A244F" w:rsidRPr="001A244F" w:rsidRDefault="001A244F" w:rsidP="001A244F">
            <w:pPr>
              <w:jc w:val="center"/>
              <w:rPr>
                <w:rFonts w:eastAsia="Times New Roman" w:cs="Calibri"/>
                <w:color w:val="000000"/>
                <w:sz w:val="20"/>
                <w:szCs w:val="20"/>
                <w:lang w:eastAsia="en-GB"/>
              </w:rPr>
            </w:pPr>
            <w:r w:rsidRPr="001A244F">
              <w:rPr>
                <w:rFonts w:eastAsia="Times New Roman" w:cs="Calibri"/>
                <w:color w:val="000000"/>
                <w:sz w:val="20"/>
                <w:szCs w:val="20"/>
                <w:lang w:eastAsia="en-GB"/>
              </w:rPr>
              <w:t>GW</w:t>
            </w:r>
          </w:p>
        </w:tc>
        <w:tc>
          <w:tcPr>
            <w:tcW w:w="959" w:type="dxa"/>
            <w:tcBorders>
              <w:top w:val="nil"/>
              <w:left w:val="nil"/>
              <w:bottom w:val="single" w:sz="8" w:space="0" w:color="B3CC82"/>
              <w:right w:val="single" w:sz="8" w:space="0" w:color="B3CC82"/>
            </w:tcBorders>
            <w:shd w:val="clear" w:color="000000" w:fill="CDDDAC"/>
            <w:vAlign w:val="center"/>
            <w:hideMark/>
          </w:tcPr>
          <w:p w:rsidR="001A244F" w:rsidRPr="001A244F" w:rsidRDefault="001A244F" w:rsidP="001A244F">
            <w:pPr>
              <w:jc w:val="center"/>
              <w:rPr>
                <w:rFonts w:eastAsia="Times New Roman" w:cs="Calibri"/>
                <w:color w:val="000000"/>
                <w:sz w:val="16"/>
                <w:szCs w:val="16"/>
                <w:lang w:eastAsia="en-GB"/>
              </w:rPr>
            </w:pPr>
            <w:r w:rsidRPr="001A244F">
              <w:rPr>
                <w:rFonts w:eastAsia="Times New Roman" w:cs="Calibri"/>
                <w:color w:val="000000"/>
                <w:sz w:val="16"/>
                <w:szCs w:val="16"/>
                <w:lang w:eastAsia="en-GB"/>
              </w:rPr>
              <w:t>On going</w:t>
            </w:r>
          </w:p>
        </w:tc>
        <w:tc>
          <w:tcPr>
            <w:tcW w:w="1037" w:type="dxa"/>
            <w:tcBorders>
              <w:top w:val="nil"/>
              <w:left w:val="nil"/>
              <w:bottom w:val="single" w:sz="8" w:space="0" w:color="B3CC82"/>
              <w:right w:val="single" w:sz="8" w:space="0" w:color="B3CC82"/>
            </w:tcBorders>
            <w:shd w:val="clear" w:color="000000" w:fill="CDDDAC"/>
            <w:vAlign w:val="center"/>
            <w:hideMark/>
          </w:tcPr>
          <w:p w:rsidR="001A244F" w:rsidRPr="001A244F" w:rsidRDefault="001A244F" w:rsidP="001A244F">
            <w:pPr>
              <w:jc w:val="right"/>
              <w:rPr>
                <w:rFonts w:eastAsia="Times New Roman" w:cs="Calibri"/>
                <w:color w:val="000000"/>
                <w:sz w:val="20"/>
                <w:szCs w:val="20"/>
                <w:lang w:eastAsia="en-GB"/>
              </w:rPr>
            </w:pPr>
            <w:r w:rsidRPr="001A244F">
              <w:rPr>
                <w:rFonts w:eastAsia="Times New Roman" w:cs="Calibri"/>
                <w:color w:val="000000"/>
                <w:sz w:val="20"/>
                <w:szCs w:val="20"/>
                <w:lang w:eastAsia="en-GB"/>
              </w:rPr>
              <w:t>£3,000</w:t>
            </w:r>
          </w:p>
        </w:tc>
        <w:tc>
          <w:tcPr>
            <w:tcW w:w="5297" w:type="dxa"/>
            <w:tcBorders>
              <w:top w:val="nil"/>
              <w:left w:val="nil"/>
              <w:bottom w:val="single" w:sz="8" w:space="0" w:color="B3CC82"/>
              <w:right w:val="single" w:sz="8" w:space="0" w:color="B3CC82"/>
            </w:tcBorders>
            <w:shd w:val="clear" w:color="000000" w:fill="CDDDAC"/>
            <w:vAlign w:val="center"/>
            <w:hideMark/>
          </w:tcPr>
          <w:p w:rsidR="001A244F" w:rsidRPr="001A244F" w:rsidRDefault="001A244F" w:rsidP="001A244F">
            <w:pPr>
              <w:rPr>
                <w:rFonts w:eastAsia="Times New Roman" w:cs="Calibri"/>
                <w:color w:val="000000"/>
                <w:sz w:val="20"/>
                <w:szCs w:val="20"/>
                <w:lang w:eastAsia="en-GB"/>
              </w:rPr>
            </w:pPr>
            <w:r w:rsidRPr="001A244F">
              <w:rPr>
                <w:rFonts w:eastAsia="Times New Roman" w:cs="Calibri"/>
                <w:color w:val="000000"/>
                <w:sz w:val="20"/>
                <w:szCs w:val="20"/>
                <w:lang w:eastAsia="en-GB"/>
              </w:rPr>
              <w:t>Improved reading age, raised achievement</w:t>
            </w:r>
          </w:p>
        </w:tc>
      </w:tr>
      <w:tr w:rsidR="001A244F" w:rsidRPr="001A244F" w:rsidTr="001A244F">
        <w:trPr>
          <w:trHeight w:val="279"/>
        </w:trPr>
        <w:tc>
          <w:tcPr>
            <w:tcW w:w="6799" w:type="dxa"/>
            <w:tcBorders>
              <w:top w:val="nil"/>
              <w:left w:val="single" w:sz="8" w:space="0" w:color="B3CC82"/>
              <w:bottom w:val="single" w:sz="8" w:space="0" w:color="B3CC82"/>
              <w:right w:val="single" w:sz="8" w:space="0" w:color="B3CC82"/>
            </w:tcBorders>
            <w:shd w:val="clear" w:color="000000" w:fill="E6EED5"/>
            <w:vAlign w:val="center"/>
            <w:hideMark/>
          </w:tcPr>
          <w:p w:rsidR="001A244F" w:rsidRPr="001A244F" w:rsidRDefault="001A244F" w:rsidP="001A244F">
            <w:pPr>
              <w:rPr>
                <w:rFonts w:eastAsia="Times New Roman" w:cs="Calibri"/>
                <w:color w:val="000000"/>
                <w:sz w:val="20"/>
                <w:szCs w:val="20"/>
                <w:lang w:eastAsia="en-GB"/>
              </w:rPr>
            </w:pPr>
            <w:r w:rsidRPr="001A244F">
              <w:rPr>
                <w:rFonts w:eastAsia="Times New Roman" w:cs="Calibri"/>
                <w:color w:val="000000"/>
                <w:sz w:val="20"/>
                <w:szCs w:val="20"/>
                <w:lang w:eastAsia="en-GB"/>
              </w:rPr>
              <w:t>Kevin Hayes revision techniques and stress busting workshop</w:t>
            </w:r>
          </w:p>
        </w:tc>
        <w:tc>
          <w:tcPr>
            <w:tcW w:w="760" w:type="dxa"/>
            <w:tcBorders>
              <w:top w:val="nil"/>
              <w:left w:val="nil"/>
              <w:bottom w:val="single" w:sz="8" w:space="0" w:color="B3CC82"/>
              <w:right w:val="single" w:sz="8" w:space="0" w:color="B3CC82"/>
            </w:tcBorders>
            <w:shd w:val="clear" w:color="000000" w:fill="E6EED5"/>
            <w:vAlign w:val="center"/>
            <w:hideMark/>
          </w:tcPr>
          <w:p w:rsidR="001A244F" w:rsidRPr="001A244F" w:rsidRDefault="001A244F" w:rsidP="001A244F">
            <w:pPr>
              <w:jc w:val="center"/>
              <w:rPr>
                <w:rFonts w:eastAsia="Times New Roman" w:cs="Calibri"/>
                <w:color w:val="000000"/>
                <w:sz w:val="20"/>
                <w:szCs w:val="20"/>
                <w:lang w:eastAsia="en-GB"/>
              </w:rPr>
            </w:pPr>
            <w:r w:rsidRPr="001A244F">
              <w:rPr>
                <w:rFonts w:eastAsia="Times New Roman" w:cs="Calibri"/>
                <w:color w:val="000000"/>
                <w:sz w:val="20"/>
                <w:szCs w:val="20"/>
                <w:lang w:eastAsia="en-GB"/>
              </w:rPr>
              <w:t>LHE</w:t>
            </w:r>
          </w:p>
        </w:tc>
        <w:tc>
          <w:tcPr>
            <w:tcW w:w="959" w:type="dxa"/>
            <w:tcBorders>
              <w:top w:val="nil"/>
              <w:left w:val="nil"/>
              <w:bottom w:val="single" w:sz="8" w:space="0" w:color="B3CC82"/>
              <w:right w:val="single" w:sz="8" w:space="0" w:color="B3CC82"/>
            </w:tcBorders>
            <w:shd w:val="clear" w:color="000000" w:fill="E6EED5"/>
            <w:vAlign w:val="center"/>
            <w:hideMark/>
          </w:tcPr>
          <w:p w:rsidR="001A244F" w:rsidRPr="001A244F" w:rsidRDefault="001A244F" w:rsidP="001A244F">
            <w:pPr>
              <w:jc w:val="center"/>
              <w:rPr>
                <w:rFonts w:eastAsia="Times New Roman" w:cs="Calibri"/>
                <w:color w:val="000000"/>
                <w:sz w:val="16"/>
                <w:szCs w:val="16"/>
                <w:lang w:eastAsia="en-GB"/>
              </w:rPr>
            </w:pPr>
            <w:r w:rsidRPr="001A244F">
              <w:rPr>
                <w:rFonts w:eastAsia="Times New Roman" w:cs="Calibri"/>
                <w:color w:val="000000"/>
                <w:sz w:val="16"/>
                <w:szCs w:val="16"/>
                <w:lang w:eastAsia="en-GB"/>
              </w:rPr>
              <w:t>Nov-18</w:t>
            </w:r>
          </w:p>
        </w:tc>
        <w:tc>
          <w:tcPr>
            <w:tcW w:w="1037" w:type="dxa"/>
            <w:tcBorders>
              <w:top w:val="nil"/>
              <w:left w:val="nil"/>
              <w:bottom w:val="single" w:sz="8" w:space="0" w:color="B3CC82"/>
              <w:right w:val="single" w:sz="8" w:space="0" w:color="B3CC82"/>
            </w:tcBorders>
            <w:shd w:val="clear" w:color="000000" w:fill="E6EED5"/>
            <w:vAlign w:val="center"/>
            <w:hideMark/>
          </w:tcPr>
          <w:p w:rsidR="001A244F" w:rsidRPr="001A244F" w:rsidRDefault="001A244F" w:rsidP="001A244F">
            <w:pPr>
              <w:jc w:val="right"/>
              <w:rPr>
                <w:rFonts w:eastAsia="Times New Roman" w:cs="Calibri"/>
                <w:color w:val="000000"/>
                <w:sz w:val="20"/>
                <w:szCs w:val="20"/>
                <w:lang w:eastAsia="en-GB"/>
              </w:rPr>
            </w:pPr>
            <w:r w:rsidRPr="001A244F">
              <w:rPr>
                <w:rFonts w:eastAsia="Times New Roman" w:cs="Calibri"/>
                <w:color w:val="000000"/>
                <w:sz w:val="20"/>
                <w:szCs w:val="20"/>
                <w:lang w:eastAsia="en-GB"/>
              </w:rPr>
              <w:t>£3,000</w:t>
            </w:r>
          </w:p>
        </w:tc>
        <w:tc>
          <w:tcPr>
            <w:tcW w:w="5297" w:type="dxa"/>
            <w:tcBorders>
              <w:top w:val="nil"/>
              <w:left w:val="nil"/>
              <w:bottom w:val="single" w:sz="8" w:space="0" w:color="B3CC82"/>
              <w:right w:val="single" w:sz="8" w:space="0" w:color="B3CC82"/>
            </w:tcBorders>
            <w:shd w:val="clear" w:color="000000" w:fill="E6EED5"/>
            <w:vAlign w:val="center"/>
            <w:hideMark/>
          </w:tcPr>
          <w:p w:rsidR="001A244F" w:rsidRPr="001A244F" w:rsidRDefault="001A244F" w:rsidP="001A244F">
            <w:pPr>
              <w:rPr>
                <w:rFonts w:eastAsia="Times New Roman" w:cs="Calibri"/>
                <w:color w:val="000000"/>
                <w:sz w:val="20"/>
                <w:szCs w:val="20"/>
                <w:lang w:eastAsia="en-GB"/>
              </w:rPr>
            </w:pPr>
            <w:r w:rsidRPr="001A244F">
              <w:rPr>
                <w:rFonts w:eastAsia="Times New Roman" w:cs="Calibri"/>
                <w:color w:val="000000"/>
                <w:sz w:val="20"/>
                <w:szCs w:val="20"/>
                <w:lang w:eastAsia="en-GB"/>
              </w:rPr>
              <w:t>Attendance to sessions, raised achievement</w:t>
            </w:r>
          </w:p>
        </w:tc>
      </w:tr>
      <w:tr w:rsidR="001A244F" w:rsidRPr="001A244F" w:rsidTr="001A244F">
        <w:trPr>
          <w:trHeight w:val="255"/>
        </w:trPr>
        <w:tc>
          <w:tcPr>
            <w:tcW w:w="6799" w:type="dxa"/>
            <w:tcBorders>
              <w:top w:val="nil"/>
              <w:left w:val="single" w:sz="8" w:space="0" w:color="B3CC82"/>
              <w:bottom w:val="single" w:sz="8" w:space="0" w:color="B3CC82"/>
              <w:right w:val="single" w:sz="8" w:space="0" w:color="B3CC82"/>
            </w:tcBorders>
            <w:shd w:val="clear" w:color="000000" w:fill="CDDDAC"/>
            <w:vAlign w:val="center"/>
            <w:hideMark/>
          </w:tcPr>
          <w:p w:rsidR="001A244F" w:rsidRPr="001A244F" w:rsidRDefault="001A244F" w:rsidP="001A244F">
            <w:pPr>
              <w:rPr>
                <w:rFonts w:eastAsia="Times New Roman" w:cs="Calibri"/>
                <w:color w:val="000000"/>
                <w:sz w:val="20"/>
                <w:szCs w:val="20"/>
                <w:lang w:eastAsia="en-GB"/>
              </w:rPr>
            </w:pPr>
            <w:r w:rsidRPr="001A244F">
              <w:rPr>
                <w:rFonts w:eastAsia="Times New Roman" w:cs="Calibri"/>
                <w:color w:val="000000"/>
                <w:sz w:val="20"/>
                <w:szCs w:val="20"/>
                <w:lang w:eastAsia="en-GB"/>
              </w:rPr>
              <w:t xml:space="preserve">Easter School </w:t>
            </w:r>
          </w:p>
        </w:tc>
        <w:tc>
          <w:tcPr>
            <w:tcW w:w="760" w:type="dxa"/>
            <w:tcBorders>
              <w:top w:val="nil"/>
              <w:left w:val="nil"/>
              <w:bottom w:val="single" w:sz="8" w:space="0" w:color="B3CC82"/>
              <w:right w:val="single" w:sz="8" w:space="0" w:color="B3CC82"/>
            </w:tcBorders>
            <w:shd w:val="clear" w:color="000000" w:fill="CDDDAC"/>
            <w:vAlign w:val="center"/>
            <w:hideMark/>
          </w:tcPr>
          <w:p w:rsidR="001A244F" w:rsidRPr="001A244F" w:rsidRDefault="001A244F" w:rsidP="001A244F">
            <w:pPr>
              <w:jc w:val="center"/>
              <w:rPr>
                <w:rFonts w:eastAsia="Times New Roman" w:cs="Calibri"/>
                <w:color w:val="000000"/>
                <w:sz w:val="20"/>
                <w:szCs w:val="20"/>
                <w:lang w:eastAsia="en-GB"/>
              </w:rPr>
            </w:pPr>
            <w:r w:rsidRPr="001A244F">
              <w:rPr>
                <w:rFonts w:eastAsia="Times New Roman" w:cs="Calibri"/>
                <w:color w:val="000000"/>
                <w:sz w:val="20"/>
                <w:szCs w:val="20"/>
                <w:lang w:eastAsia="en-GB"/>
              </w:rPr>
              <w:t>VP</w:t>
            </w:r>
          </w:p>
        </w:tc>
        <w:tc>
          <w:tcPr>
            <w:tcW w:w="959" w:type="dxa"/>
            <w:tcBorders>
              <w:top w:val="nil"/>
              <w:left w:val="nil"/>
              <w:bottom w:val="single" w:sz="8" w:space="0" w:color="B3CC82"/>
              <w:right w:val="single" w:sz="8" w:space="0" w:color="B3CC82"/>
            </w:tcBorders>
            <w:shd w:val="clear" w:color="000000" w:fill="CDDDAC"/>
            <w:vAlign w:val="center"/>
            <w:hideMark/>
          </w:tcPr>
          <w:p w:rsidR="001A244F" w:rsidRPr="001A244F" w:rsidRDefault="001A244F" w:rsidP="001A244F">
            <w:pPr>
              <w:jc w:val="center"/>
              <w:rPr>
                <w:rFonts w:eastAsia="Times New Roman" w:cs="Calibri"/>
                <w:color w:val="000000"/>
                <w:sz w:val="16"/>
                <w:szCs w:val="16"/>
                <w:lang w:eastAsia="en-GB"/>
              </w:rPr>
            </w:pPr>
            <w:r w:rsidRPr="001A244F">
              <w:rPr>
                <w:rFonts w:eastAsia="Times New Roman" w:cs="Calibri"/>
                <w:color w:val="000000"/>
                <w:sz w:val="16"/>
                <w:szCs w:val="16"/>
                <w:lang w:eastAsia="en-GB"/>
              </w:rPr>
              <w:t>Apr-19</w:t>
            </w:r>
          </w:p>
        </w:tc>
        <w:tc>
          <w:tcPr>
            <w:tcW w:w="1037" w:type="dxa"/>
            <w:tcBorders>
              <w:top w:val="nil"/>
              <w:left w:val="nil"/>
              <w:bottom w:val="single" w:sz="8" w:space="0" w:color="B3CC82"/>
              <w:right w:val="single" w:sz="8" w:space="0" w:color="B3CC82"/>
            </w:tcBorders>
            <w:shd w:val="clear" w:color="000000" w:fill="CDDDAC"/>
            <w:vAlign w:val="center"/>
            <w:hideMark/>
          </w:tcPr>
          <w:p w:rsidR="001A244F" w:rsidRPr="001A244F" w:rsidRDefault="001A244F" w:rsidP="001A244F">
            <w:pPr>
              <w:jc w:val="right"/>
              <w:rPr>
                <w:rFonts w:eastAsia="Times New Roman" w:cs="Calibri"/>
                <w:color w:val="000000"/>
                <w:sz w:val="20"/>
                <w:szCs w:val="20"/>
                <w:lang w:eastAsia="en-GB"/>
              </w:rPr>
            </w:pPr>
            <w:r w:rsidRPr="001A244F">
              <w:rPr>
                <w:rFonts w:eastAsia="Times New Roman" w:cs="Calibri"/>
                <w:color w:val="000000"/>
                <w:sz w:val="20"/>
                <w:szCs w:val="20"/>
                <w:lang w:eastAsia="en-GB"/>
              </w:rPr>
              <w:t>£11,000</w:t>
            </w:r>
          </w:p>
        </w:tc>
        <w:tc>
          <w:tcPr>
            <w:tcW w:w="5297" w:type="dxa"/>
            <w:tcBorders>
              <w:top w:val="nil"/>
              <w:left w:val="nil"/>
              <w:bottom w:val="single" w:sz="8" w:space="0" w:color="B3CC82"/>
              <w:right w:val="single" w:sz="8" w:space="0" w:color="B3CC82"/>
            </w:tcBorders>
            <w:shd w:val="clear" w:color="000000" w:fill="CDDDAC"/>
            <w:vAlign w:val="center"/>
            <w:hideMark/>
          </w:tcPr>
          <w:p w:rsidR="001A244F" w:rsidRPr="001A244F" w:rsidRDefault="001A244F" w:rsidP="001A244F">
            <w:pPr>
              <w:rPr>
                <w:rFonts w:eastAsia="Times New Roman" w:cs="Calibri"/>
                <w:color w:val="000000"/>
                <w:sz w:val="20"/>
                <w:szCs w:val="20"/>
                <w:lang w:eastAsia="en-GB"/>
              </w:rPr>
            </w:pPr>
            <w:r w:rsidRPr="001A244F">
              <w:rPr>
                <w:rFonts w:eastAsia="Times New Roman" w:cs="Calibri"/>
                <w:color w:val="000000"/>
                <w:sz w:val="20"/>
                <w:szCs w:val="20"/>
                <w:lang w:eastAsia="en-GB"/>
              </w:rPr>
              <w:t>Attendance to sessions, raised achievement</w:t>
            </w:r>
          </w:p>
        </w:tc>
      </w:tr>
      <w:tr w:rsidR="001A244F" w:rsidRPr="001A244F" w:rsidTr="001A244F">
        <w:trPr>
          <w:trHeight w:val="259"/>
        </w:trPr>
        <w:tc>
          <w:tcPr>
            <w:tcW w:w="6799" w:type="dxa"/>
            <w:tcBorders>
              <w:top w:val="nil"/>
              <w:left w:val="single" w:sz="8" w:space="0" w:color="B3CC82"/>
              <w:bottom w:val="single" w:sz="8" w:space="0" w:color="B3CC82"/>
              <w:right w:val="single" w:sz="8" w:space="0" w:color="B3CC82"/>
            </w:tcBorders>
            <w:shd w:val="clear" w:color="000000" w:fill="E6EED5"/>
            <w:vAlign w:val="center"/>
            <w:hideMark/>
          </w:tcPr>
          <w:p w:rsidR="001A244F" w:rsidRPr="001A244F" w:rsidRDefault="001A244F" w:rsidP="001A244F">
            <w:pPr>
              <w:rPr>
                <w:rFonts w:eastAsia="Times New Roman" w:cs="Calibri"/>
                <w:color w:val="000000"/>
                <w:sz w:val="20"/>
                <w:szCs w:val="20"/>
                <w:lang w:eastAsia="en-GB"/>
              </w:rPr>
            </w:pPr>
            <w:r w:rsidRPr="001A244F">
              <w:rPr>
                <w:rFonts w:eastAsia="Times New Roman" w:cs="Calibri"/>
                <w:color w:val="000000"/>
                <w:sz w:val="20"/>
                <w:szCs w:val="20"/>
                <w:lang w:eastAsia="en-GB"/>
              </w:rPr>
              <w:t xml:space="preserve">Intervention for other subjects outside of Easter school </w:t>
            </w:r>
          </w:p>
        </w:tc>
        <w:tc>
          <w:tcPr>
            <w:tcW w:w="760" w:type="dxa"/>
            <w:tcBorders>
              <w:top w:val="nil"/>
              <w:left w:val="nil"/>
              <w:bottom w:val="single" w:sz="8" w:space="0" w:color="B3CC82"/>
              <w:right w:val="single" w:sz="8" w:space="0" w:color="B3CC82"/>
            </w:tcBorders>
            <w:shd w:val="clear" w:color="000000" w:fill="E6EED5"/>
            <w:vAlign w:val="center"/>
            <w:hideMark/>
          </w:tcPr>
          <w:p w:rsidR="001A244F" w:rsidRPr="001A244F" w:rsidRDefault="001A244F" w:rsidP="001A244F">
            <w:pPr>
              <w:jc w:val="center"/>
              <w:rPr>
                <w:rFonts w:eastAsia="Times New Roman" w:cs="Calibri"/>
                <w:color w:val="000000"/>
                <w:sz w:val="20"/>
                <w:szCs w:val="20"/>
                <w:lang w:eastAsia="en-GB"/>
              </w:rPr>
            </w:pPr>
            <w:r w:rsidRPr="001A244F">
              <w:rPr>
                <w:rFonts w:eastAsia="Times New Roman" w:cs="Calibri"/>
                <w:color w:val="000000"/>
                <w:sz w:val="20"/>
                <w:szCs w:val="20"/>
                <w:lang w:eastAsia="en-GB"/>
              </w:rPr>
              <w:t>CD</w:t>
            </w:r>
          </w:p>
        </w:tc>
        <w:tc>
          <w:tcPr>
            <w:tcW w:w="959" w:type="dxa"/>
            <w:tcBorders>
              <w:top w:val="nil"/>
              <w:left w:val="nil"/>
              <w:bottom w:val="single" w:sz="8" w:space="0" w:color="B3CC82"/>
              <w:right w:val="single" w:sz="8" w:space="0" w:color="B3CC82"/>
            </w:tcBorders>
            <w:shd w:val="clear" w:color="000000" w:fill="E6EED5"/>
            <w:vAlign w:val="center"/>
            <w:hideMark/>
          </w:tcPr>
          <w:p w:rsidR="001A244F" w:rsidRPr="001A244F" w:rsidRDefault="001A244F" w:rsidP="001A244F">
            <w:pPr>
              <w:jc w:val="center"/>
              <w:rPr>
                <w:rFonts w:eastAsia="Times New Roman" w:cs="Calibri"/>
                <w:color w:val="000000"/>
                <w:sz w:val="16"/>
                <w:szCs w:val="16"/>
                <w:lang w:eastAsia="en-GB"/>
              </w:rPr>
            </w:pPr>
            <w:r w:rsidRPr="001A244F">
              <w:rPr>
                <w:rFonts w:eastAsia="Times New Roman" w:cs="Calibri"/>
                <w:color w:val="000000"/>
                <w:sz w:val="16"/>
                <w:szCs w:val="16"/>
                <w:lang w:eastAsia="en-GB"/>
              </w:rPr>
              <w:t>On going</w:t>
            </w:r>
          </w:p>
        </w:tc>
        <w:tc>
          <w:tcPr>
            <w:tcW w:w="1037" w:type="dxa"/>
            <w:tcBorders>
              <w:top w:val="nil"/>
              <w:left w:val="nil"/>
              <w:bottom w:val="single" w:sz="8" w:space="0" w:color="B3CC82"/>
              <w:right w:val="single" w:sz="8" w:space="0" w:color="B3CC82"/>
            </w:tcBorders>
            <w:shd w:val="clear" w:color="000000" w:fill="E6EED5"/>
            <w:vAlign w:val="center"/>
            <w:hideMark/>
          </w:tcPr>
          <w:p w:rsidR="001A244F" w:rsidRPr="001A244F" w:rsidRDefault="001A244F" w:rsidP="001A244F">
            <w:pPr>
              <w:jc w:val="right"/>
              <w:rPr>
                <w:rFonts w:eastAsia="Times New Roman" w:cs="Calibri"/>
                <w:color w:val="000000"/>
                <w:sz w:val="20"/>
                <w:szCs w:val="20"/>
                <w:lang w:eastAsia="en-GB"/>
              </w:rPr>
            </w:pPr>
            <w:r w:rsidRPr="001A244F">
              <w:rPr>
                <w:rFonts w:eastAsia="Times New Roman" w:cs="Calibri"/>
                <w:color w:val="000000"/>
                <w:sz w:val="20"/>
                <w:szCs w:val="20"/>
                <w:lang w:eastAsia="en-GB"/>
              </w:rPr>
              <w:t>£6,000</w:t>
            </w:r>
          </w:p>
        </w:tc>
        <w:tc>
          <w:tcPr>
            <w:tcW w:w="5297" w:type="dxa"/>
            <w:tcBorders>
              <w:top w:val="nil"/>
              <w:left w:val="nil"/>
              <w:bottom w:val="single" w:sz="8" w:space="0" w:color="B3CC82"/>
              <w:right w:val="single" w:sz="8" w:space="0" w:color="B3CC82"/>
            </w:tcBorders>
            <w:shd w:val="clear" w:color="000000" w:fill="E6EED5"/>
            <w:vAlign w:val="center"/>
            <w:hideMark/>
          </w:tcPr>
          <w:p w:rsidR="001A244F" w:rsidRPr="001A244F" w:rsidRDefault="001A244F" w:rsidP="001A244F">
            <w:pPr>
              <w:rPr>
                <w:rFonts w:eastAsia="Times New Roman" w:cs="Calibri"/>
                <w:color w:val="000000"/>
                <w:sz w:val="20"/>
                <w:szCs w:val="20"/>
                <w:lang w:eastAsia="en-GB"/>
              </w:rPr>
            </w:pPr>
            <w:r w:rsidRPr="001A244F">
              <w:rPr>
                <w:rFonts w:eastAsia="Times New Roman" w:cs="Calibri"/>
                <w:color w:val="000000"/>
                <w:sz w:val="20"/>
                <w:szCs w:val="20"/>
                <w:lang w:eastAsia="en-GB"/>
              </w:rPr>
              <w:t>Attendance to sessions, raised achievement</w:t>
            </w:r>
          </w:p>
        </w:tc>
      </w:tr>
      <w:tr w:rsidR="001A244F" w:rsidRPr="001A244F" w:rsidTr="001A244F">
        <w:trPr>
          <w:trHeight w:val="276"/>
        </w:trPr>
        <w:tc>
          <w:tcPr>
            <w:tcW w:w="6799" w:type="dxa"/>
            <w:tcBorders>
              <w:top w:val="nil"/>
              <w:left w:val="single" w:sz="8" w:space="0" w:color="B3CC82"/>
              <w:bottom w:val="single" w:sz="8" w:space="0" w:color="B3CC82"/>
              <w:right w:val="single" w:sz="8" w:space="0" w:color="B3CC82"/>
            </w:tcBorders>
            <w:shd w:val="clear" w:color="000000" w:fill="CDDDAC"/>
            <w:vAlign w:val="center"/>
            <w:hideMark/>
          </w:tcPr>
          <w:p w:rsidR="001A244F" w:rsidRPr="001A244F" w:rsidRDefault="001A244F" w:rsidP="001A244F">
            <w:pPr>
              <w:rPr>
                <w:rFonts w:eastAsia="Times New Roman" w:cs="Calibri"/>
                <w:color w:val="000000"/>
                <w:sz w:val="20"/>
                <w:szCs w:val="20"/>
                <w:lang w:eastAsia="en-GB"/>
              </w:rPr>
            </w:pPr>
            <w:r w:rsidRPr="001A244F">
              <w:rPr>
                <w:rFonts w:eastAsia="Times New Roman" w:cs="Calibri"/>
                <w:color w:val="000000"/>
                <w:sz w:val="20"/>
                <w:szCs w:val="20"/>
                <w:lang w:eastAsia="en-GB"/>
              </w:rPr>
              <w:t xml:space="preserve">Brilliant Club for KS3, KS4 &amp; KS5 students </w:t>
            </w:r>
          </w:p>
        </w:tc>
        <w:tc>
          <w:tcPr>
            <w:tcW w:w="760" w:type="dxa"/>
            <w:tcBorders>
              <w:top w:val="nil"/>
              <w:left w:val="nil"/>
              <w:bottom w:val="single" w:sz="8" w:space="0" w:color="B3CC82"/>
              <w:right w:val="single" w:sz="8" w:space="0" w:color="B3CC82"/>
            </w:tcBorders>
            <w:shd w:val="clear" w:color="000000" w:fill="CDDDAC"/>
            <w:vAlign w:val="center"/>
            <w:hideMark/>
          </w:tcPr>
          <w:p w:rsidR="001A244F" w:rsidRPr="001A244F" w:rsidRDefault="001A244F" w:rsidP="001A244F">
            <w:pPr>
              <w:jc w:val="center"/>
              <w:rPr>
                <w:rFonts w:eastAsia="Times New Roman" w:cs="Calibri"/>
                <w:color w:val="000000"/>
                <w:sz w:val="20"/>
                <w:szCs w:val="20"/>
                <w:lang w:eastAsia="en-GB"/>
              </w:rPr>
            </w:pPr>
            <w:r w:rsidRPr="001A244F">
              <w:rPr>
                <w:rFonts w:eastAsia="Times New Roman" w:cs="Calibri"/>
                <w:color w:val="000000"/>
                <w:sz w:val="20"/>
                <w:szCs w:val="20"/>
                <w:lang w:eastAsia="en-GB"/>
              </w:rPr>
              <w:t xml:space="preserve">PL </w:t>
            </w:r>
          </w:p>
        </w:tc>
        <w:tc>
          <w:tcPr>
            <w:tcW w:w="959" w:type="dxa"/>
            <w:tcBorders>
              <w:top w:val="nil"/>
              <w:left w:val="nil"/>
              <w:bottom w:val="single" w:sz="8" w:space="0" w:color="B3CC82"/>
              <w:right w:val="single" w:sz="8" w:space="0" w:color="B3CC82"/>
            </w:tcBorders>
            <w:shd w:val="clear" w:color="000000" w:fill="CDDDAC"/>
            <w:vAlign w:val="center"/>
            <w:hideMark/>
          </w:tcPr>
          <w:p w:rsidR="001A244F" w:rsidRPr="001A244F" w:rsidRDefault="001A244F" w:rsidP="001A244F">
            <w:pPr>
              <w:jc w:val="center"/>
              <w:rPr>
                <w:rFonts w:eastAsia="Times New Roman" w:cs="Calibri"/>
                <w:color w:val="000000"/>
                <w:sz w:val="16"/>
                <w:szCs w:val="16"/>
                <w:lang w:eastAsia="en-GB"/>
              </w:rPr>
            </w:pPr>
            <w:r>
              <w:rPr>
                <w:rFonts w:eastAsia="Times New Roman" w:cs="Calibri"/>
                <w:color w:val="000000"/>
                <w:sz w:val="16"/>
                <w:szCs w:val="16"/>
                <w:lang w:eastAsia="en-GB"/>
              </w:rPr>
              <w:t>T1 &amp; T2</w:t>
            </w:r>
            <w:r w:rsidRPr="001A244F">
              <w:rPr>
                <w:rFonts w:eastAsia="Times New Roman" w:cs="Calibri"/>
                <w:color w:val="000000"/>
                <w:sz w:val="16"/>
                <w:szCs w:val="16"/>
                <w:lang w:eastAsia="en-GB"/>
              </w:rPr>
              <w:t xml:space="preserve"> </w:t>
            </w:r>
          </w:p>
        </w:tc>
        <w:tc>
          <w:tcPr>
            <w:tcW w:w="1037" w:type="dxa"/>
            <w:tcBorders>
              <w:top w:val="nil"/>
              <w:left w:val="nil"/>
              <w:bottom w:val="single" w:sz="8" w:space="0" w:color="B3CC82"/>
              <w:right w:val="single" w:sz="8" w:space="0" w:color="B3CC82"/>
            </w:tcBorders>
            <w:shd w:val="clear" w:color="000000" w:fill="CDDDAC"/>
            <w:vAlign w:val="center"/>
            <w:hideMark/>
          </w:tcPr>
          <w:p w:rsidR="001A244F" w:rsidRPr="001A244F" w:rsidRDefault="001A244F" w:rsidP="001A244F">
            <w:pPr>
              <w:jc w:val="right"/>
              <w:rPr>
                <w:rFonts w:eastAsia="Times New Roman" w:cs="Calibri"/>
                <w:color w:val="000000"/>
                <w:sz w:val="20"/>
                <w:szCs w:val="20"/>
                <w:lang w:eastAsia="en-GB"/>
              </w:rPr>
            </w:pPr>
            <w:r w:rsidRPr="001A244F">
              <w:rPr>
                <w:rFonts w:eastAsia="Times New Roman" w:cs="Calibri"/>
                <w:color w:val="000000"/>
                <w:sz w:val="20"/>
                <w:szCs w:val="20"/>
                <w:lang w:eastAsia="en-GB"/>
              </w:rPr>
              <w:t>£6,400</w:t>
            </w:r>
          </w:p>
        </w:tc>
        <w:tc>
          <w:tcPr>
            <w:tcW w:w="5297" w:type="dxa"/>
            <w:tcBorders>
              <w:top w:val="nil"/>
              <w:left w:val="nil"/>
              <w:bottom w:val="single" w:sz="8" w:space="0" w:color="B3CC82"/>
              <w:right w:val="single" w:sz="8" w:space="0" w:color="B3CC82"/>
            </w:tcBorders>
            <w:shd w:val="clear" w:color="000000" w:fill="CDDDAC"/>
            <w:vAlign w:val="center"/>
            <w:hideMark/>
          </w:tcPr>
          <w:p w:rsidR="001A244F" w:rsidRPr="001A244F" w:rsidRDefault="001A244F" w:rsidP="001A244F">
            <w:pPr>
              <w:rPr>
                <w:rFonts w:eastAsia="Times New Roman" w:cs="Calibri"/>
                <w:color w:val="000000"/>
                <w:sz w:val="20"/>
                <w:szCs w:val="20"/>
                <w:lang w:eastAsia="en-GB"/>
              </w:rPr>
            </w:pPr>
            <w:r w:rsidRPr="001A244F">
              <w:rPr>
                <w:rFonts w:eastAsia="Times New Roman" w:cs="Calibri"/>
                <w:color w:val="000000"/>
                <w:sz w:val="20"/>
                <w:szCs w:val="20"/>
                <w:lang w:eastAsia="en-GB"/>
              </w:rPr>
              <w:t>Enrichment promoting engagement and achievement</w:t>
            </w:r>
          </w:p>
        </w:tc>
      </w:tr>
      <w:tr w:rsidR="001A244F" w:rsidRPr="001A244F" w:rsidTr="001A244F">
        <w:trPr>
          <w:trHeight w:val="334"/>
        </w:trPr>
        <w:tc>
          <w:tcPr>
            <w:tcW w:w="6799" w:type="dxa"/>
            <w:tcBorders>
              <w:top w:val="nil"/>
              <w:left w:val="single" w:sz="8" w:space="0" w:color="B3CC82"/>
              <w:bottom w:val="single" w:sz="8" w:space="0" w:color="B3CC82"/>
              <w:right w:val="single" w:sz="8" w:space="0" w:color="B3CC82"/>
            </w:tcBorders>
            <w:shd w:val="clear" w:color="000000" w:fill="E6EED5"/>
            <w:vAlign w:val="center"/>
            <w:hideMark/>
          </w:tcPr>
          <w:p w:rsidR="001A244F" w:rsidRPr="001A244F" w:rsidRDefault="001A244F" w:rsidP="001A244F">
            <w:pPr>
              <w:rPr>
                <w:rFonts w:eastAsia="Times New Roman" w:cs="Calibri"/>
                <w:color w:val="000000"/>
                <w:sz w:val="20"/>
                <w:szCs w:val="20"/>
                <w:lang w:eastAsia="en-GB"/>
              </w:rPr>
            </w:pPr>
            <w:r w:rsidRPr="001A244F">
              <w:rPr>
                <w:rFonts w:eastAsia="Times New Roman" w:cs="Calibri"/>
                <w:color w:val="000000"/>
                <w:sz w:val="20"/>
                <w:szCs w:val="20"/>
                <w:lang w:eastAsia="en-GB"/>
              </w:rPr>
              <w:t>Additional resources for the curriculum for PP students (camera’s for photography course)</w:t>
            </w:r>
          </w:p>
        </w:tc>
        <w:tc>
          <w:tcPr>
            <w:tcW w:w="760" w:type="dxa"/>
            <w:tcBorders>
              <w:top w:val="nil"/>
              <w:left w:val="nil"/>
              <w:bottom w:val="single" w:sz="8" w:space="0" w:color="B3CC82"/>
              <w:right w:val="single" w:sz="8" w:space="0" w:color="B3CC82"/>
            </w:tcBorders>
            <w:shd w:val="clear" w:color="000000" w:fill="E6EED5"/>
            <w:vAlign w:val="center"/>
            <w:hideMark/>
          </w:tcPr>
          <w:p w:rsidR="001A244F" w:rsidRPr="001A244F" w:rsidRDefault="001A244F" w:rsidP="001A244F">
            <w:pPr>
              <w:jc w:val="center"/>
              <w:rPr>
                <w:rFonts w:eastAsia="Times New Roman" w:cs="Calibri"/>
                <w:color w:val="000000"/>
                <w:sz w:val="20"/>
                <w:szCs w:val="20"/>
                <w:lang w:eastAsia="en-GB"/>
              </w:rPr>
            </w:pPr>
            <w:r w:rsidRPr="001A244F">
              <w:rPr>
                <w:rFonts w:eastAsia="Times New Roman" w:cs="Calibri"/>
                <w:color w:val="000000"/>
                <w:sz w:val="20"/>
                <w:szCs w:val="20"/>
                <w:lang w:eastAsia="en-GB"/>
              </w:rPr>
              <w:t>HM</w:t>
            </w:r>
          </w:p>
        </w:tc>
        <w:tc>
          <w:tcPr>
            <w:tcW w:w="959" w:type="dxa"/>
            <w:tcBorders>
              <w:top w:val="nil"/>
              <w:left w:val="nil"/>
              <w:bottom w:val="single" w:sz="8" w:space="0" w:color="B3CC82"/>
              <w:right w:val="single" w:sz="8" w:space="0" w:color="B3CC82"/>
            </w:tcBorders>
            <w:shd w:val="clear" w:color="000000" w:fill="E6EED5"/>
            <w:vAlign w:val="center"/>
            <w:hideMark/>
          </w:tcPr>
          <w:p w:rsidR="001A244F" w:rsidRPr="001A244F" w:rsidRDefault="001A244F" w:rsidP="001A244F">
            <w:pPr>
              <w:jc w:val="center"/>
              <w:rPr>
                <w:rFonts w:eastAsia="Times New Roman" w:cs="Calibri"/>
                <w:color w:val="000000"/>
                <w:sz w:val="16"/>
                <w:szCs w:val="16"/>
                <w:lang w:eastAsia="en-GB"/>
              </w:rPr>
            </w:pPr>
            <w:r w:rsidRPr="001A244F">
              <w:rPr>
                <w:rFonts w:eastAsia="Times New Roman" w:cs="Calibri"/>
                <w:color w:val="000000"/>
                <w:sz w:val="16"/>
                <w:szCs w:val="16"/>
                <w:lang w:eastAsia="en-GB"/>
              </w:rPr>
              <w:t>On going</w:t>
            </w:r>
          </w:p>
        </w:tc>
        <w:tc>
          <w:tcPr>
            <w:tcW w:w="1037" w:type="dxa"/>
            <w:tcBorders>
              <w:top w:val="nil"/>
              <w:left w:val="nil"/>
              <w:bottom w:val="single" w:sz="8" w:space="0" w:color="B3CC82"/>
              <w:right w:val="single" w:sz="8" w:space="0" w:color="B3CC82"/>
            </w:tcBorders>
            <w:shd w:val="clear" w:color="000000" w:fill="E6EED5"/>
            <w:vAlign w:val="center"/>
            <w:hideMark/>
          </w:tcPr>
          <w:p w:rsidR="001A244F" w:rsidRPr="001A244F" w:rsidRDefault="001A244F" w:rsidP="001A244F">
            <w:pPr>
              <w:jc w:val="right"/>
              <w:rPr>
                <w:rFonts w:eastAsia="Times New Roman" w:cs="Calibri"/>
                <w:color w:val="000000"/>
                <w:sz w:val="20"/>
                <w:szCs w:val="20"/>
                <w:lang w:eastAsia="en-GB"/>
              </w:rPr>
            </w:pPr>
            <w:r w:rsidRPr="001A244F">
              <w:rPr>
                <w:rFonts w:eastAsia="Times New Roman" w:cs="Calibri"/>
                <w:color w:val="000000"/>
                <w:sz w:val="20"/>
                <w:szCs w:val="20"/>
                <w:lang w:eastAsia="en-GB"/>
              </w:rPr>
              <w:t>£2,000</w:t>
            </w:r>
          </w:p>
        </w:tc>
        <w:tc>
          <w:tcPr>
            <w:tcW w:w="5297" w:type="dxa"/>
            <w:tcBorders>
              <w:top w:val="nil"/>
              <w:left w:val="nil"/>
              <w:bottom w:val="single" w:sz="8" w:space="0" w:color="B3CC82"/>
              <w:right w:val="single" w:sz="8" w:space="0" w:color="B3CC82"/>
            </w:tcBorders>
            <w:shd w:val="clear" w:color="000000" w:fill="E6EED5"/>
            <w:vAlign w:val="center"/>
            <w:hideMark/>
          </w:tcPr>
          <w:p w:rsidR="001A244F" w:rsidRPr="001A244F" w:rsidRDefault="001A244F" w:rsidP="001A244F">
            <w:pPr>
              <w:rPr>
                <w:rFonts w:eastAsia="Times New Roman" w:cs="Calibri"/>
                <w:color w:val="000000"/>
                <w:sz w:val="20"/>
                <w:szCs w:val="20"/>
                <w:lang w:eastAsia="en-GB"/>
              </w:rPr>
            </w:pPr>
            <w:r w:rsidRPr="001A244F">
              <w:rPr>
                <w:rFonts w:eastAsia="Times New Roman" w:cs="Calibri"/>
                <w:color w:val="000000"/>
                <w:sz w:val="20"/>
                <w:szCs w:val="20"/>
                <w:lang w:eastAsia="en-GB"/>
              </w:rPr>
              <w:t>Pupils supported in learning, improved achievement</w:t>
            </w:r>
          </w:p>
        </w:tc>
      </w:tr>
      <w:tr w:rsidR="001A244F" w:rsidRPr="001A244F" w:rsidTr="001A244F">
        <w:trPr>
          <w:trHeight w:val="233"/>
        </w:trPr>
        <w:tc>
          <w:tcPr>
            <w:tcW w:w="6799" w:type="dxa"/>
            <w:tcBorders>
              <w:top w:val="nil"/>
              <w:left w:val="single" w:sz="8" w:space="0" w:color="B3CC82"/>
              <w:bottom w:val="single" w:sz="8" w:space="0" w:color="B3CC82"/>
              <w:right w:val="single" w:sz="8" w:space="0" w:color="B3CC82"/>
            </w:tcBorders>
            <w:shd w:val="clear" w:color="000000" w:fill="CDDDAC"/>
            <w:vAlign w:val="center"/>
            <w:hideMark/>
          </w:tcPr>
          <w:p w:rsidR="001A244F" w:rsidRPr="001A244F" w:rsidRDefault="001A244F" w:rsidP="001A244F">
            <w:pPr>
              <w:rPr>
                <w:rFonts w:eastAsia="Times New Roman" w:cs="Calibri"/>
                <w:color w:val="000000"/>
                <w:sz w:val="20"/>
                <w:szCs w:val="20"/>
                <w:lang w:eastAsia="en-GB"/>
              </w:rPr>
            </w:pPr>
            <w:r w:rsidRPr="001A244F">
              <w:rPr>
                <w:rFonts w:eastAsia="Times New Roman" w:cs="Calibri"/>
                <w:color w:val="000000"/>
                <w:sz w:val="20"/>
                <w:szCs w:val="20"/>
                <w:lang w:eastAsia="en-GB"/>
              </w:rPr>
              <w:t>Humanities 2019 for PP students Year 7-10</w:t>
            </w:r>
          </w:p>
        </w:tc>
        <w:tc>
          <w:tcPr>
            <w:tcW w:w="760" w:type="dxa"/>
            <w:tcBorders>
              <w:top w:val="nil"/>
              <w:left w:val="nil"/>
              <w:bottom w:val="single" w:sz="8" w:space="0" w:color="B3CC82"/>
              <w:right w:val="single" w:sz="8" w:space="0" w:color="B3CC82"/>
            </w:tcBorders>
            <w:shd w:val="clear" w:color="000000" w:fill="CDDDAC"/>
            <w:vAlign w:val="center"/>
            <w:hideMark/>
          </w:tcPr>
          <w:p w:rsidR="001A244F" w:rsidRPr="001A244F" w:rsidRDefault="001A244F" w:rsidP="001A244F">
            <w:pPr>
              <w:jc w:val="center"/>
              <w:rPr>
                <w:rFonts w:eastAsia="Times New Roman" w:cs="Calibri"/>
                <w:color w:val="000000"/>
                <w:sz w:val="20"/>
                <w:szCs w:val="20"/>
                <w:lang w:eastAsia="en-GB"/>
              </w:rPr>
            </w:pPr>
            <w:r w:rsidRPr="001A244F">
              <w:rPr>
                <w:rFonts w:eastAsia="Times New Roman" w:cs="Calibri"/>
                <w:color w:val="000000"/>
                <w:sz w:val="20"/>
                <w:szCs w:val="20"/>
                <w:lang w:eastAsia="en-GB"/>
              </w:rPr>
              <w:t> </w:t>
            </w:r>
          </w:p>
        </w:tc>
        <w:tc>
          <w:tcPr>
            <w:tcW w:w="959" w:type="dxa"/>
            <w:tcBorders>
              <w:top w:val="nil"/>
              <w:left w:val="nil"/>
              <w:bottom w:val="single" w:sz="8" w:space="0" w:color="B3CC82"/>
              <w:right w:val="single" w:sz="8" w:space="0" w:color="B3CC82"/>
            </w:tcBorders>
            <w:shd w:val="clear" w:color="000000" w:fill="CDDDAC"/>
            <w:vAlign w:val="center"/>
            <w:hideMark/>
          </w:tcPr>
          <w:p w:rsidR="001A244F" w:rsidRPr="001A244F" w:rsidRDefault="001A244F" w:rsidP="001A244F">
            <w:pPr>
              <w:jc w:val="center"/>
              <w:rPr>
                <w:rFonts w:eastAsia="Times New Roman" w:cs="Calibri"/>
                <w:color w:val="000000"/>
                <w:sz w:val="16"/>
                <w:szCs w:val="16"/>
                <w:lang w:eastAsia="en-GB"/>
              </w:rPr>
            </w:pPr>
            <w:r w:rsidRPr="001A244F">
              <w:rPr>
                <w:rFonts w:eastAsia="Times New Roman" w:cs="Calibri"/>
                <w:color w:val="000000"/>
                <w:sz w:val="16"/>
                <w:szCs w:val="16"/>
                <w:lang w:eastAsia="en-GB"/>
              </w:rPr>
              <w:t>Summer term 2019</w:t>
            </w:r>
          </w:p>
        </w:tc>
        <w:tc>
          <w:tcPr>
            <w:tcW w:w="1037" w:type="dxa"/>
            <w:tcBorders>
              <w:top w:val="nil"/>
              <w:left w:val="nil"/>
              <w:bottom w:val="single" w:sz="8" w:space="0" w:color="B3CC82"/>
              <w:right w:val="single" w:sz="8" w:space="0" w:color="B3CC82"/>
            </w:tcBorders>
            <w:shd w:val="clear" w:color="000000" w:fill="CDDDAC"/>
            <w:vAlign w:val="center"/>
            <w:hideMark/>
          </w:tcPr>
          <w:p w:rsidR="001A244F" w:rsidRPr="001A244F" w:rsidRDefault="001A244F" w:rsidP="001A244F">
            <w:pPr>
              <w:jc w:val="right"/>
              <w:rPr>
                <w:rFonts w:eastAsia="Times New Roman" w:cs="Calibri"/>
                <w:color w:val="000000"/>
                <w:sz w:val="20"/>
                <w:szCs w:val="20"/>
                <w:lang w:eastAsia="en-GB"/>
              </w:rPr>
            </w:pPr>
            <w:r w:rsidRPr="001A244F">
              <w:rPr>
                <w:rFonts w:eastAsia="Times New Roman" w:cs="Calibri"/>
                <w:color w:val="000000"/>
                <w:sz w:val="20"/>
                <w:szCs w:val="20"/>
                <w:lang w:eastAsia="en-GB"/>
              </w:rPr>
              <w:t>£11,180</w:t>
            </w:r>
          </w:p>
        </w:tc>
        <w:tc>
          <w:tcPr>
            <w:tcW w:w="5297" w:type="dxa"/>
            <w:tcBorders>
              <w:top w:val="nil"/>
              <w:left w:val="nil"/>
              <w:bottom w:val="single" w:sz="8" w:space="0" w:color="B3CC82"/>
              <w:right w:val="single" w:sz="8" w:space="0" w:color="B3CC82"/>
            </w:tcBorders>
            <w:shd w:val="clear" w:color="000000" w:fill="CDDDAC"/>
            <w:vAlign w:val="center"/>
            <w:hideMark/>
          </w:tcPr>
          <w:p w:rsidR="001A244F" w:rsidRPr="001A244F" w:rsidRDefault="001A244F" w:rsidP="001A244F">
            <w:pPr>
              <w:rPr>
                <w:rFonts w:eastAsia="Times New Roman" w:cs="Calibri"/>
                <w:color w:val="000000"/>
                <w:sz w:val="20"/>
                <w:szCs w:val="20"/>
                <w:lang w:eastAsia="en-GB"/>
              </w:rPr>
            </w:pPr>
            <w:r w:rsidRPr="001A244F">
              <w:rPr>
                <w:rFonts w:eastAsia="Times New Roman" w:cs="Calibri"/>
                <w:color w:val="000000"/>
                <w:sz w:val="20"/>
                <w:szCs w:val="20"/>
                <w:lang w:eastAsia="en-GB"/>
              </w:rPr>
              <w:t>Enrichment promoting engagement and achievement</w:t>
            </w:r>
          </w:p>
        </w:tc>
      </w:tr>
      <w:tr w:rsidR="001A244F" w:rsidRPr="001A244F" w:rsidTr="001A244F">
        <w:trPr>
          <w:trHeight w:val="239"/>
        </w:trPr>
        <w:tc>
          <w:tcPr>
            <w:tcW w:w="6799" w:type="dxa"/>
            <w:tcBorders>
              <w:top w:val="nil"/>
              <w:left w:val="single" w:sz="8" w:space="0" w:color="B3CC82"/>
              <w:bottom w:val="single" w:sz="8" w:space="0" w:color="B3CC82"/>
              <w:right w:val="single" w:sz="8" w:space="0" w:color="B3CC82"/>
            </w:tcBorders>
            <w:shd w:val="clear" w:color="000000" w:fill="CDDDAC"/>
            <w:vAlign w:val="center"/>
            <w:hideMark/>
          </w:tcPr>
          <w:p w:rsidR="001A244F" w:rsidRPr="001A244F" w:rsidRDefault="001A244F" w:rsidP="001A244F">
            <w:pPr>
              <w:rPr>
                <w:rFonts w:eastAsia="Times New Roman" w:cs="Calibri"/>
                <w:color w:val="000000"/>
                <w:sz w:val="20"/>
                <w:szCs w:val="20"/>
                <w:lang w:eastAsia="en-GB"/>
              </w:rPr>
            </w:pPr>
            <w:r w:rsidRPr="001A244F">
              <w:rPr>
                <w:rFonts w:eastAsia="Times New Roman" w:cs="Calibri"/>
                <w:color w:val="000000"/>
                <w:sz w:val="20"/>
                <w:szCs w:val="20"/>
                <w:lang w:eastAsia="en-GB"/>
              </w:rPr>
              <w:t>Young Reporters Scheme Year 10-13</w:t>
            </w:r>
          </w:p>
        </w:tc>
        <w:tc>
          <w:tcPr>
            <w:tcW w:w="760" w:type="dxa"/>
            <w:tcBorders>
              <w:top w:val="nil"/>
              <w:left w:val="nil"/>
              <w:bottom w:val="single" w:sz="8" w:space="0" w:color="B3CC82"/>
              <w:right w:val="single" w:sz="8" w:space="0" w:color="B3CC82"/>
            </w:tcBorders>
            <w:shd w:val="clear" w:color="000000" w:fill="CDDDAC"/>
            <w:vAlign w:val="center"/>
            <w:hideMark/>
          </w:tcPr>
          <w:p w:rsidR="001A244F" w:rsidRPr="001A244F" w:rsidRDefault="001A244F" w:rsidP="001A244F">
            <w:pPr>
              <w:jc w:val="center"/>
              <w:rPr>
                <w:rFonts w:eastAsia="Times New Roman" w:cs="Calibri"/>
                <w:color w:val="000000"/>
                <w:sz w:val="20"/>
                <w:szCs w:val="20"/>
                <w:lang w:eastAsia="en-GB"/>
              </w:rPr>
            </w:pPr>
            <w:r w:rsidRPr="001A244F">
              <w:rPr>
                <w:rFonts w:eastAsia="Times New Roman" w:cs="Calibri"/>
                <w:color w:val="000000"/>
                <w:sz w:val="20"/>
                <w:szCs w:val="20"/>
                <w:lang w:eastAsia="en-GB"/>
              </w:rPr>
              <w:t xml:space="preserve">VP </w:t>
            </w:r>
          </w:p>
        </w:tc>
        <w:tc>
          <w:tcPr>
            <w:tcW w:w="959" w:type="dxa"/>
            <w:tcBorders>
              <w:top w:val="nil"/>
              <w:left w:val="nil"/>
              <w:bottom w:val="single" w:sz="8" w:space="0" w:color="B3CC82"/>
              <w:right w:val="single" w:sz="8" w:space="0" w:color="B3CC82"/>
            </w:tcBorders>
            <w:shd w:val="clear" w:color="000000" w:fill="CDDDAC"/>
            <w:vAlign w:val="center"/>
            <w:hideMark/>
          </w:tcPr>
          <w:p w:rsidR="001A244F" w:rsidRPr="001A244F" w:rsidRDefault="001A244F" w:rsidP="001A244F">
            <w:pPr>
              <w:jc w:val="center"/>
              <w:rPr>
                <w:rFonts w:eastAsia="Times New Roman" w:cs="Calibri"/>
                <w:color w:val="000000"/>
                <w:sz w:val="16"/>
                <w:szCs w:val="16"/>
                <w:lang w:eastAsia="en-GB"/>
              </w:rPr>
            </w:pPr>
            <w:r w:rsidRPr="001A244F">
              <w:rPr>
                <w:rFonts w:eastAsia="Times New Roman" w:cs="Calibri"/>
                <w:color w:val="000000"/>
                <w:sz w:val="16"/>
                <w:szCs w:val="16"/>
                <w:lang w:eastAsia="en-GB"/>
              </w:rPr>
              <w:t>Sep-18</w:t>
            </w:r>
          </w:p>
        </w:tc>
        <w:tc>
          <w:tcPr>
            <w:tcW w:w="1037" w:type="dxa"/>
            <w:tcBorders>
              <w:top w:val="nil"/>
              <w:left w:val="nil"/>
              <w:bottom w:val="single" w:sz="8" w:space="0" w:color="B3CC82"/>
              <w:right w:val="single" w:sz="8" w:space="0" w:color="B3CC82"/>
            </w:tcBorders>
            <w:shd w:val="clear" w:color="000000" w:fill="CDDDAC"/>
            <w:vAlign w:val="center"/>
            <w:hideMark/>
          </w:tcPr>
          <w:p w:rsidR="001A244F" w:rsidRPr="001A244F" w:rsidRDefault="001A244F" w:rsidP="001A244F">
            <w:pPr>
              <w:jc w:val="right"/>
              <w:rPr>
                <w:rFonts w:eastAsia="Times New Roman" w:cs="Calibri"/>
                <w:color w:val="000000"/>
                <w:sz w:val="20"/>
                <w:szCs w:val="20"/>
                <w:lang w:eastAsia="en-GB"/>
              </w:rPr>
            </w:pPr>
            <w:r w:rsidRPr="001A244F">
              <w:rPr>
                <w:rFonts w:eastAsia="Times New Roman" w:cs="Calibri"/>
                <w:color w:val="000000"/>
                <w:sz w:val="20"/>
                <w:szCs w:val="20"/>
                <w:lang w:eastAsia="en-GB"/>
              </w:rPr>
              <w:t>£500</w:t>
            </w:r>
          </w:p>
        </w:tc>
        <w:tc>
          <w:tcPr>
            <w:tcW w:w="5297" w:type="dxa"/>
            <w:tcBorders>
              <w:top w:val="nil"/>
              <w:left w:val="nil"/>
              <w:bottom w:val="single" w:sz="8" w:space="0" w:color="B3CC82"/>
              <w:right w:val="single" w:sz="8" w:space="0" w:color="B3CC82"/>
            </w:tcBorders>
            <w:shd w:val="clear" w:color="000000" w:fill="CDDDAC"/>
            <w:vAlign w:val="center"/>
            <w:hideMark/>
          </w:tcPr>
          <w:p w:rsidR="001A244F" w:rsidRPr="001A244F" w:rsidRDefault="001A244F" w:rsidP="001A244F">
            <w:pPr>
              <w:rPr>
                <w:rFonts w:eastAsia="Times New Roman" w:cs="Calibri"/>
                <w:color w:val="000000"/>
                <w:sz w:val="20"/>
                <w:szCs w:val="20"/>
                <w:lang w:eastAsia="en-GB"/>
              </w:rPr>
            </w:pPr>
            <w:r w:rsidRPr="001A244F">
              <w:rPr>
                <w:rFonts w:eastAsia="Times New Roman" w:cs="Calibri"/>
                <w:color w:val="000000"/>
                <w:sz w:val="20"/>
                <w:szCs w:val="20"/>
                <w:lang w:eastAsia="en-GB"/>
              </w:rPr>
              <w:t>Enrichment programme linked to careers in writing</w:t>
            </w:r>
          </w:p>
        </w:tc>
      </w:tr>
      <w:tr w:rsidR="001A244F" w:rsidRPr="001A244F" w:rsidTr="001A244F">
        <w:trPr>
          <w:trHeight w:val="258"/>
        </w:trPr>
        <w:tc>
          <w:tcPr>
            <w:tcW w:w="6799" w:type="dxa"/>
            <w:tcBorders>
              <w:top w:val="nil"/>
              <w:left w:val="single" w:sz="8" w:space="0" w:color="B3CC82"/>
              <w:bottom w:val="single" w:sz="8" w:space="0" w:color="B3CC82"/>
              <w:right w:val="single" w:sz="8" w:space="0" w:color="B3CC82"/>
            </w:tcBorders>
            <w:shd w:val="clear" w:color="000000" w:fill="CDDDAC"/>
            <w:vAlign w:val="center"/>
            <w:hideMark/>
          </w:tcPr>
          <w:p w:rsidR="001A244F" w:rsidRPr="001A244F" w:rsidRDefault="001A244F" w:rsidP="001A244F">
            <w:pPr>
              <w:rPr>
                <w:rFonts w:eastAsia="Times New Roman" w:cs="Calibri"/>
                <w:color w:val="000000"/>
                <w:sz w:val="20"/>
                <w:szCs w:val="20"/>
                <w:lang w:eastAsia="en-GB"/>
              </w:rPr>
            </w:pPr>
            <w:r w:rsidRPr="001A244F">
              <w:rPr>
                <w:rFonts w:eastAsia="Times New Roman" w:cs="Calibri"/>
                <w:color w:val="000000"/>
                <w:sz w:val="20"/>
                <w:szCs w:val="20"/>
                <w:lang w:eastAsia="en-GB"/>
              </w:rPr>
              <w:t>Educational trips for PP students (Revision conferences, STEM, Kidzania etc)</w:t>
            </w:r>
          </w:p>
        </w:tc>
        <w:tc>
          <w:tcPr>
            <w:tcW w:w="760" w:type="dxa"/>
            <w:tcBorders>
              <w:top w:val="nil"/>
              <w:left w:val="nil"/>
              <w:bottom w:val="single" w:sz="8" w:space="0" w:color="B3CC82"/>
              <w:right w:val="single" w:sz="8" w:space="0" w:color="B3CC82"/>
            </w:tcBorders>
            <w:shd w:val="clear" w:color="000000" w:fill="CDDDAC"/>
            <w:vAlign w:val="center"/>
            <w:hideMark/>
          </w:tcPr>
          <w:p w:rsidR="001A244F" w:rsidRPr="001A244F" w:rsidRDefault="001A244F" w:rsidP="001A244F">
            <w:pPr>
              <w:jc w:val="center"/>
              <w:rPr>
                <w:rFonts w:eastAsia="Times New Roman" w:cs="Calibri"/>
                <w:color w:val="000000"/>
                <w:sz w:val="20"/>
                <w:szCs w:val="20"/>
                <w:lang w:eastAsia="en-GB"/>
              </w:rPr>
            </w:pPr>
            <w:r w:rsidRPr="001A244F">
              <w:rPr>
                <w:rFonts w:eastAsia="Times New Roman" w:cs="Calibri"/>
                <w:color w:val="000000"/>
                <w:sz w:val="20"/>
                <w:szCs w:val="20"/>
                <w:lang w:eastAsia="en-GB"/>
              </w:rPr>
              <w:t> </w:t>
            </w:r>
          </w:p>
        </w:tc>
        <w:tc>
          <w:tcPr>
            <w:tcW w:w="959" w:type="dxa"/>
            <w:tcBorders>
              <w:top w:val="nil"/>
              <w:left w:val="nil"/>
              <w:bottom w:val="single" w:sz="8" w:space="0" w:color="B3CC82"/>
              <w:right w:val="single" w:sz="8" w:space="0" w:color="B3CC82"/>
            </w:tcBorders>
            <w:shd w:val="clear" w:color="000000" w:fill="CDDDAC"/>
            <w:vAlign w:val="center"/>
            <w:hideMark/>
          </w:tcPr>
          <w:p w:rsidR="001A244F" w:rsidRPr="001A244F" w:rsidRDefault="001A244F" w:rsidP="001A244F">
            <w:pPr>
              <w:jc w:val="center"/>
              <w:rPr>
                <w:rFonts w:eastAsia="Times New Roman" w:cs="Calibri"/>
                <w:color w:val="000000"/>
                <w:sz w:val="16"/>
                <w:szCs w:val="16"/>
                <w:lang w:eastAsia="en-GB"/>
              </w:rPr>
            </w:pPr>
            <w:r w:rsidRPr="001A244F">
              <w:rPr>
                <w:rFonts w:eastAsia="Times New Roman" w:cs="Calibri"/>
                <w:color w:val="000000"/>
                <w:sz w:val="16"/>
                <w:szCs w:val="16"/>
                <w:lang w:eastAsia="en-GB"/>
              </w:rPr>
              <w:t>On going</w:t>
            </w:r>
          </w:p>
        </w:tc>
        <w:tc>
          <w:tcPr>
            <w:tcW w:w="1037" w:type="dxa"/>
            <w:tcBorders>
              <w:top w:val="nil"/>
              <w:left w:val="nil"/>
              <w:bottom w:val="single" w:sz="8" w:space="0" w:color="B3CC82"/>
              <w:right w:val="single" w:sz="8" w:space="0" w:color="B3CC82"/>
            </w:tcBorders>
            <w:shd w:val="clear" w:color="000000" w:fill="CDDDAC"/>
            <w:vAlign w:val="center"/>
            <w:hideMark/>
          </w:tcPr>
          <w:p w:rsidR="001A244F" w:rsidRPr="001A244F" w:rsidRDefault="001A244F" w:rsidP="001A244F">
            <w:pPr>
              <w:jc w:val="right"/>
              <w:rPr>
                <w:rFonts w:eastAsia="Times New Roman" w:cs="Calibri"/>
                <w:color w:val="000000"/>
                <w:sz w:val="20"/>
                <w:szCs w:val="20"/>
                <w:lang w:eastAsia="en-GB"/>
              </w:rPr>
            </w:pPr>
            <w:r w:rsidRPr="001A244F">
              <w:rPr>
                <w:rFonts w:eastAsia="Times New Roman" w:cs="Calibri"/>
                <w:color w:val="000000"/>
                <w:sz w:val="20"/>
                <w:szCs w:val="20"/>
                <w:lang w:eastAsia="en-GB"/>
              </w:rPr>
              <w:t>£3,000</w:t>
            </w:r>
          </w:p>
        </w:tc>
        <w:tc>
          <w:tcPr>
            <w:tcW w:w="5297" w:type="dxa"/>
            <w:tcBorders>
              <w:top w:val="nil"/>
              <w:left w:val="nil"/>
              <w:bottom w:val="single" w:sz="8" w:space="0" w:color="B3CC82"/>
              <w:right w:val="single" w:sz="8" w:space="0" w:color="B3CC82"/>
            </w:tcBorders>
            <w:shd w:val="clear" w:color="000000" w:fill="CDDDAC"/>
            <w:vAlign w:val="center"/>
            <w:hideMark/>
          </w:tcPr>
          <w:p w:rsidR="001A244F" w:rsidRPr="001A244F" w:rsidRDefault="001A244F" w:rsidP="001A244F">
            <w:pPr>
              <w:rPr>
                <w:rFonts w:eastAsia="Times New Roman" w:cs="Calibri"/>
                <w:color w:val="000000"/>
                <w:sz w:val="20"/>
                <w:szCs w:val="20"/>
                <w:lang w:eastAsia="en-GB"/>
              </w:rPr>
            </w:pPr>
            <w:r w:rsidRPr="001A244F">
              <w:rPr>
                <w:rFonts w:eastAsia="Times New Roman" w:cs="Calibri"/>
                <w:color w:val="000000"/>
                <w:sz w:val="20"/>
                <w:szCs w:val="20"/>
                <w:lang w:eastAsia="en-GB"/>
              </w:rPr>
              <w:t>Enrichment promoting engagement and achievement</w:t>
            </w:r>
          </w:p>
        </w:tc>
      </w:tr>
      <w:tr w:rsidR="001A244F" w:rsidRPr="001A244F" w:rsidTr="001A244F">
        <w:trPr>
          <w:trHeight w:val="263"/>
        </w:trPr>
        <w:tc>
          <w:tcPr>
            <w:tcW w:w="6799" w:type="dxa"/>
            <w:tcBorders>
              <w:top w:val="nil"/>
              <w:left w:val="single" w:sz="8" w:space="0" w:color="B3CC82"/>
              <w:bottom w:val="single" w:sz="8" w:space="0" w:color="B3CC82"/>
              <w:right w:val="single" w:sz="8" w:space="0" w:color="B3CC82"/>
            </w:tcBorders>
            <w:shd w:val="clear" w:color="000000" w:fill="E6EED5"/>
            <w:vAlign w:val="center"/>
            <w:hideMark/>
          </w:tcPr>
          <w:p w:rsidR="001A244F" w:rsidRPr="001A244F" w:rsidRDefault="001A244F" w:rsidP="001A244F">
            <w:pPr>
              <w:rPr>
                <w:rFonts w:eastAsia="Times New Roman" w:cs="Calibri"/>
                <w:color w:val="000000"/>
                <w:sz w:val="20"/>
                <w:szCs w:val="20"/>
                <w:lang w:eastAsia="en-GB"/>
              </w:rPr>
            </w:pPr>
            <w:r w:rsidRPr="001A244F">
              <w:rPr>
                <w:rFonts w:eastAsia="Times New Roman" w:cs="Calibri"/>
                <w:color w:val="000000"/>
                <w:sz w:val="20"/>
                <w:szCs w:val="20"/>
                <w:lang w:eastAsia="en-GB"/>
              </w:rPr>
              <w:t xml:space="preserve">Supply of careers advisory service </w:t>
            </w:r>
          </w:p>
        </w:tc>
        <w:tc>
          <w:tcPr>
            <w:tcW w:w="760" w:type="dxa"/>
            <w:tcBorders>
              <w:top w:val="nil"/>
              <w:left w:val="nil"/>
              <w:bottom w:val="single" w:sz="8" w:space="0" w:color="B3CC82"/>
              <w:right w:val="single" w:sz="8" w:space="0" w:color="B3CC82"/>
            </w:tcBorders>
            <w:shd w:val="clear" w:color="000000" w:fill="E6EED5"/>
            <w:vAlign w:val="center"/>
            <w:hideMark/>
          </w:tcPr>
          <w:p w:rsidR="001A244F" w:rsidRPr="001A244F" w:rsidRDefault="001A244F" w:rsidP="001A244F">
            <w:pPr>
              <w:jc w:val="center"/>
              <w:rPr>
                <w:rFonts w:eastAsia="Times New Roman" w:cs="Calibri"/>
                <w:color w:val="000000"/>
                <w:sz w:val="20"/>
                <w:szCs w:val="20"/>
                <w:lang w:eastAsia="en-GB"/>
              </w:rPr>
            </w:pPr>
            <w:r w:rsidRPr="001A244F">
              <w:rPr>
                <w:rFonts w:eastAsia="Times New Roman" w:cs="Calibri"/>
                <w:color w:val="000000"/>
                <w:sz w:val="20"/>
                <w:szCs w:val="20"/>
                <w:lang w:eastAsia="en-GB"/>
              </w:rPr>
              <w:t xml:space="preserve">PL </w:t>
            </w:r>
          </w:p>
        </w:tc>
        <w:tc>
          <w:tcPr>
            <w:tcW w:w="959" w:type="dxa"/>
            <w:tcBorders>
              <w:top w:val="nil"/>
              <w:left w:val="nil"/>
              <w:bottom w:val="single" w:sz="8" w:space="0" w:color="B3CC82"/>
              <w:right w:val="single" w:sz="8" w:space="0" w:color="B3CC82"/>
            </w:tcBorders>
            <w:shd w:val="clear" w:color="000000" w:fill="E6EED5"/>
            <w:vAlign w:val="center"/>
            <w:hideMark/>
          </w:tcPr>
          <w:p w:rsidR="001A244F" w:rsidRPr="001A244F" w:rsidRDefault="001A244F" w:rsidP="001A244F">
            <w:pPr>
              <w:jc w:val="center"/>
              <w:rPr>
                <w:rFonts w:eastAsia="Times New Roman" w:cs="Calibri"/>
                <w:color w:val="000000"/>
                <w:sz w:val="16"/>
                <w:szCs w:val="16"/>
                <w:lang w:eastAsia="en-GB"/>
              </w:rPr>
            </w:pPr>
            <w:r w:rsidRPr="001A244F">
              <w:rPr>
                <w:rFonts w:eastAsia="Times New Roman" w:cs="Calibri"/>
                <w:color w:val="000000"/>
                <w:sz w:val="16"/>
                <w:szCs w:val="16"/>
                <w:lang w:eastAsia="en-GB"/>
              </w:rPr>
              <w:t>On going</w:t>
            </w:r>
          </w:p>
        </w:tc>
        <w:tc>
          <w:tcPr>
            <w:tcW w:w="1037" w:type="dxa"/>
            <w:tcBorders>
              <w:top w:val="nil"/>
              <w:left w:val="nil"/>
              <w:bottom w:val="single" w:sz="8" w:space="0" w:color="B3CC82"/>
              <w:right w:val="single" w:sz="8" w:space="0" w:color="B3CC82"/>
            </w:tcBorders>
            <w:shd w:val="clear" w:color="000000" w:fill="E6EED5"/>
            <w:vAlign w:val="center"/>
            <w:hideMark/>
          </w:tcPr>
          <w:p w:rsidR="001A244F" w:rsidRPr="001A244F" w:rsidRDefault="001A244F" w:rsidP="001A244F">
            <w:pPr>
              <w:jc w:val="right"/>
              <w:rPr>
                <w:rFonts w:eastAsia="Times New Roman" w:cs="Calibri"/>
                <w:color w:val="000000"/>
                <w:sz w:val="20"/>
                <w:szCs w:val="20"/>
                <w:lang w:eastAsia="en-GB"/>
              </w:rPr>
            </w:pPr>
            <w:r w:rsidRPr="001A244F">
              <w:rPr>
                <w:rFonts w:eastAsia="Times New Roman" w:cs="Calibri"/>
                <w:color w:val="000000"/>
                <w:sz w:val="20"/>
                <w:szCs w:val="20"/>
                <w:lang w:eastAsia="en-GB"/>
              </w:rPr>
              <w:t>£11,560</w:t>
            </w:r>
          </w:p>
        </w:tc>
        <w:tc>
          <w:tcPr>
            <w:tcW w:w="5297" w:type="dxa"/>
            <w:tcBorders>
              <w:top w:val="nil"/>
              <w:left w:val="nil"/>
              <w:bottom w:val="single" w:sz="8" w:space="0" w:color="B3CC82"/>
              <w:right w:val="single" w:sz="8" w:space="0" w:color="B3CC82"/>
            </w:tcBorders>
            <w:shd w:val="clear" w:color="000000" w:fill="E6EED5"/>
            <w:vAlign w:val="center"/>
            <w:hideMark/>
          </w:tcPr>
          <w:p w:rsidR="001A244F" w:rsidRPr="001A244F" w:rsidRDefault="001A244F" w:rsidP="001A244F">
            <w:pPr>
              <w:rPr>
                <w:rFonts w:eastAsia="Times New Roman" w:cs="Calibri"/>
                <w:color w:val="000000"/>
                <w:sz w:val="20"/>
                <w:szCs w:val="20"/>
                <w:lang w:eastAsia="en-GB"/>
              </w:rPr>
            </w:pPr>
            <w:r w:rsidRPr="001A244F">
              <w:rPr>
                <w:rFonts w:eastAsia="Times New Roman" w:cs="Calibri"/>
                <w:color w:val="000000"/>
                <w:sz w:val="20"/>
                <w:szCs w:val="20"/>
                <w:lang w:eastAsia="en-GB"/>
              </w:rPr>
              <w:t>Inspiring careers guidance , promoting engagement</w:t>
            </w:r>
          </w:p>
        </w:tc>
      </w:tr>
      <w:tr w:rsidR="001A244F" w:rsidRPr="001A244F" w:rsidTr="001A244F">
        <w:trPr>
          <w:trHeight w:val="282"/>
        </w:trPr>
        <w:tc>
          <w:tcPr>
            <w:tcW w:w="6799" w:type="dxa"/>
            <w:tcBorders>
              <w:top w:val="nil"/>
              <w:left w:val="single" w:sz="8" w:space="0" w:color="B3CC82"/>
              <w:bottom w:val="single" w:sz="8" w:space="0" w:color="B3CC82"/>
              <w:right w:val="single" w:sz="8" w:space="0" w:color="B3CC82"/>
            </w:tcBorders>
            <w:shd w:val="clear" w:color="000000" w:fill="CDDDAC"/>
            <w:vAlign w:val="center"/>
            <w:hideMark/>
          </w:tcPr>
          <w:p w:rsidR="001A244F" w:rsidRPr="001A244F" w:rsidRDefault="001A244F" w:rsidP="001A244F">
            <w:pPr>
              <w:rPr>
                <w:rFonts w:eastAsia="Times New Roman" w:cs="Calibri"/>
                <w:color w:val="000000"/>
                <w:sz w:val="20"/>
                <w:szCs w:val="20"/>
                <w:lang w:eastAsia="en-GB"/>
              </w:rPr>
            </w:pPr>
            <w:r w:rsidRPr="001A244F">
              <w:rPr>
                <w:rFonts w:eastAsia="Times New Roman" w:cs="Calibri"/>
                <w:color w:val="000000"/>
                <w:sz w:val="20"/>
                <w:szCs w:val="20"/>
                <w:lang w:eastAsia="en-GB"/>
              </w:rPr>
              <w:t>Language lessons with language assistants</w:t>
            </w:r>
          </w:p>
        </w:tc>
        <w:tc>
          <w:tcPr>
            <w:tcW w:w="760" w:type="dxa"/>
            <w:tcBorders>
              <w:top w:val="nil"/>
              <w:left w:val="nil"/>
              <w:bottom w:val="single" w:sz="8" w:space="0" w:color="B3CC82"/>
              <w:right w:val="single" w:sz="8" w:space="0" w:color="B3CC82"/>
            </w:tcBorders>
            <w:shd w:val="clear" w:color="000000" w:fill="CDDDAC"/>
            <w:vAlign w:val="center"/>
            <w:hideMark/>
          </w:tcPr>
          <w:p w:rsidR="001A244F" w:rsidRPr="001A244F" w:rsidRDefault="001A244F" w:rsidP="001A244F">
            <w:pPr>
              <w:jc w:val="center"/>
              <w:rPr>
                <w:rFonts w:eastAsia="Times New Roman" w:cs="Calibri"/>
                <w:color w:val="000000"/>
                <w:sz w:val="20"/>
                <w:szCs w:val="20"/>
                <w:lang w:eastAsia="en-GB"/>
              </w:rPr>
            </w:pPr>
            <w:r w:rsidRPr="001A244F">
              <w:rPr>
                <w:rFonts w:eastAsia="Times New Roman" w:cs="Calibri"/>
                <w:color w:val="000000"/>
                <w:sz w:val="20"/>
                <w:szCs w:val="20"/>
                <w:lang w:eastAsia="en-GB"/>
              </w:rPr>
              <w:t>SA</w:t>
            </w:r>
          </w:p>
        </w:tc>
        <w:tc>
          <w:tcPr>
            <w:tcW w:w="959" w:type="dxa"/>
            <w:tcBorders>
              <w:top w:val="nil"/>
              <w:left w:val="nil"/>
              <w:bottom w:val="single" w:sz="8" w:space="0" w:color="B3CC82"/>
              <w:right w:val="single" w:sz="8" w:space="0" w:color="B3CC82"/>
            </w:tcBorders>
            <w:shd w:val="clear" w:color="000000" w:fill="CDDDAC"/>
            <w:vAlign w:val="center"/>
            <w:hideMark/>
          </w:tcPr>
          <w:p w:rsidR="001A244F" w:rsidRPr="001A244F" w:rsidRDefault="001A244F" w:rsidP="001A244F">
            <w:pPr>
              <w:jc w:val="center"/>
              <w:rPr>
                <w:rFonts w:eastAsia="Times New Roman" w:cs="Calibri"/>
                <w:color w:val="000000"/>
                <w:sz w:val="16"/>
                <w:szCs w:val="16"/>
                <w:lang w:eastAsia="en-GB"/>
              </w:rPr>
            </w:pPr>
            <w:r w:rsidRPr="001A244F">
              <w:rPr>
                <w:rFonts w:eastAsia="Times New Roman" w:cs="Calibri"/>
                <w:color w:val="000000"/>
                <w:sz w:val="16"/>
                <w:szCs w:val="16"/>
                <w:lang w:eastAsia="en-GB"/>
              </w:rPr>
              <w:t xml:space="preserve">On  going </w:t>
            </w:r>
          </w:p>
        </w:tc>
        <w:tc>
          <w:tcPr>
            <w:tcW w:w="1037" w:type="dxa"/>
            <w:tcBorders>
              <w:top w:val="nil"/>
              <w:left w:val="nil"/>
              <w:bottom w:val="single" w:sz="8" w:space="0" w:color="B3CC82"/>
              <w:right w:val="single" w:sz="8" w:space="0" w:color="B3CC82"/>
            </w:tcBorders>
            <w:shd w:val="clear" w:color="000000" w:fill="CDDDAC"/>
            <w:vAlign w:val="center"/>
            <w:hideMark/>
          </w:tcPr>
          <w:p w:rsidR="001A244F" w:rsidRPr="001A244F" w:rsidRDefault="001A244F" w:rsidP="001A244F">
            <w:pPr>
              <w:jc w:val="right"/>
              <w:rPr>
                <w:rFonts w:eastAsia="Times New Roman" w:cs="Calibri"/>
                <w:color w:val="000000"/>
                <w:sz w:val="20"/>
                <w:szCs w:val="20"/>
                <w:lang w:eastAsia="en-GB"/>
              </w:rPr>
            </w:pPr>
            <w:r w:rsidRPr="001A244F">
              <w:rPr>
                <w:rFonts w:eastAsia="Times New Roman" w:cs="Calibri"/>
                <w:color w:val="000000"/>
                <w:sz w:val="20"/>
                <w:szCs w:val="20"/>
                <w:lang w:eastAsia="en-GB"/>
              </w:rPr>
              <w:t>£8,000</w:t>
            </w:r>
          </w:p>
        </w:tc>
        <w:tc>
          <w:tcPr>
            <w:tcW w:w="5297" w:type="dxa"/>
            <w:tcBorders>
              <w:top w:val="nil"/>
              <w:left w:val="nil"/>
              <w:bottom w:val="single" w:sz="8" w:space="0" w:color="B3CC82"/>
              <w:right w:val="single" w:sz="8" w:space="0" w:color="B3CC82"/>
            </w:tcBorders>
            <w:shd w:val="clear" w:color="000000" w:fill="E6EED5"/>
            <w:vAlign w:val="center"/>
            <w:hideMark/>
          </w:tcPr>
          <w:p w:rsidR="001A244F" w:rsidRPr="001A244F" w:rsidRDefault="001A244F" w:rsidP="001A244F">
            <w:pPr>
              <w:rPr>
                <w:rFonts w:eastAsia="Times New Roman" w:cs="Calibri"/>
                <w:color w:val="000000"/>
                <w:sz w:val="20"/>
                <w:szCs w:val="20"/>
                <w:lang w:eastAsia="en-GB"/>
              </w:rPr>
            </w:pPr>
            <w:r w:rsidRPr="001A244F">
              <w:rPr>
                <w:rFonts w:eastAsia="Times New Roman" w:cs="Calibri"/>
                <w:color w:val="000000"/>
                <w:sz w:val="20"/>
                <w:szCs w:val="20"/>
                <w:lang w:eastAsia="en-GB"/>
              </w:rPr>
              <w:t>Pupils supported in learning, improved achievement</w:t>
            </w:r>
          </w:p>
        </w:tc>
      </w:tr>
      <w:tr w:rsidR="001A244F" w:rsidRPr="001A244F" w:rsidTr="001A244F">
        <w:trPr>
          <w:trHeight w:val="303"/>
        </w:trPr>
        <w:tc>
          <w:tcPr>
            <w:tcW w:w="6799" w:type="dxa"/>
            <w:tcBorders>
              <w:top w:val="nil"/>
              <w:left w:val="single" w:sz="8" w:space="0" w:color="B3CC82"/>
              <w:bottom w:val="single" w:sz="8" w:space="0" w:color="B3CC82"/>
              <w:right w:val="single" w:sz="8" w:space="0" w:color="B3CC82"/>
            </w:tcBorders>
            <w:shd w:val="clear" w:color="000000" w:fill="E6EED5"/>
            <w:vAlign w:val="center"/>
            <w:hideMark/>
          </w:tcPr>
          <w:p w:rsidR="001A244F" w:rsidRPr="001A244F" w:rsidRDefault="001A244F" w:rsidP="001A244F">
            <w:pPr>
              <w:rPr>
                <w:rFonts w:eastAsia="Times New Roman" w:cs="Calibri"/>
                <w:color w:val="000000"/>
                <w:sz w:val="20"/>
                <w:szCs w:val="20"/>
                <w:lang w:eastAsia="en-GB"/>
              </w:rPr>
            </w:pPr>
            <w:r w:rsidRPr="001A244F">
              <w:rPr>
                <w:rFonts w:eastAsia="Times New Roman" w:cs="Calibri"/>
                <w:color w:val="000000"/>
                <w:sz w:val="20"/>
                <w:szCs w:val="20"/>
                <w:lang w:eastAsia="en-GB"/>
              </w:rPr>
              <w:t>Literary Festival 2019 / World Book Day</w:t>
            </w:r>
          </w:p>
        </w:tc>
        <w:tc>
          <w:tcPr>
            <w:tcW w:w="760" w:type="dxa"/>
            <w:tcBorders>
              <w:top w:val="nil"/>
              <w:left w:val="nil"/>
              <w:bottom w:val="single" w:sz="8" w:space="0" w:color="B3CC82"/>
              <w:right w:val="single" w:sz="8" w:space="0" w:color="B3CC82"/>
            </w:tcBorders>
            <w:shd w:val="clear" w:color="000000" w:fill="E6EED5"/>
            <w:vAlign w:val="center"/>
            <w:hideMark/>
          </w:tcPr>
          <w:p w:rsidR="001A244F" w:rsidRPr="001A244F" w:rsidRDefault="001A244F" w:rsidP="001A244F">
            <w:pPr>
              <w:jc w:val="center"/>
              <w:rPr>
                <w:rFonts w:eastAsia="Times New Roman" w:cs="Calibri"/>
                <w:color w:val="000000"/>
                <w:sz w:val="20"/>
                <w:szCs w:val="20"/>
                <w:lang w:eastAsia="en-GB"/>
              </w:rPr>
            </w:pPr>
            <w:r w:rsidRPr="001A244F">
              <w:rPr>
                <w:rFonts w:eastAsia="Times New Roman" w:cs="Calibri"/>
                <w:color w:val="000000"/>
                <w:sz w:val="20"/>
                <w:szCs w:val="20"/>
                <w:lang w:eastAsia="en-GB"/>
              </w:rPr>
              <w:t>VP</w:t>
            </w:r>
          </w:p>
        </w:tc>
        <w:tc>
          <w:tcPr>
            <w:tcW w:w="959" w:type="dxa"/>
            <w:tcBorders>
              <w:top w:val="nil"/>
              <w:left w:val="nil"/>
              <w:bottom w:val="single" w:sz="8" w:space="0" w:color="B3CC82"/>
              <w:right w:val="single" w:sz="8" w:space="0" w:color="B3CC82"/>
            </w:tcBorders>
            <w:shd w:val="clear" w:color="000000" w:fill="E6EED5"/>
            <w:vAlign w:val="center"/>
            <w:hideMark/>
          </w:tcPr>
          <w:p w:rsidR="001A244F" w:rsidRPr="001A244F" w:rsidRDefault="001A244F" w:rsidP="001A244F">
            <w:pPr>
              <w:jc w:val="center"/>
              <w:rPr>
                <w:rFonts w:eastAsia="Times New Roman" w:cs="Calibri"/>
                <w:color w:val="000000"/>
                <w:sz w:val="16"/>
                <w:szCs w:val="16"/>
                <w:lang w:eastAsia="en-GB"/>
              </w:rPr>
            </w:pPr>
            <w:r w:rsidRPr="001A244F">
              <w:rPr>
                <w:rFonts w:eastAsia="Times New Roman" w:cs="Calibri"/>
                <w:color w:val="000000"/>
                <w:sz w:val="16"/>
                <w:szCs w:val="16"/>
                <w:lang w:eastAsia="en-GB"/>
              </w:rPr>
              <w:t>Apr-19</w:t>
            </w:r>
          </w:p>
        </w:tc>
        <w:tc>
          <w:tcPr>
            <w:tcW w:w="1037" w:type="dxa"/>
            <w:tcBorders>
              <w:top w:val="nil"/>
              <w:left w:val="nil"/>
              <w:bottom w:val="single" w:sz="8" w:space="0" w:color="B3CC82"/>
              <w:right w:val="single" w:sz="8" w:space="0" w:color="B3CC82"/>
            </w:tcBorders>
            <w:shd w:val="clear" w:color="000000" w:fill="E6EED5"/>
            <w:vAlign w:val="center"/>
            <w:hideMark/>
          </w:tcPr>
          <w:p w:rsidR="001A244F" w:rsidRPr="001A244F" w:rsidRDefault="001A244F" w:rsidP="001A244F">
            <w:pPr>
              <w:jc w:val="right"/>
              <w:rPr>
                <w:rFonts w:eastAsia="Times New Roman" w:cs="Calibri"/>
                <w:color w:val="000000"/>
                <w:sz w:val="20"/>
                <w:szCs w:val="20"/>
                <w:lang w:eastAsia="en-GB"/>
              </w:rPr>
            </w:pPr>
            <w:r w:rsidRPr="001A244F">
              <w:rPr>
                <w:rFonts w:eastAsia="Times New Roman" w:cs="Calibri"/>
                <w:color w:val="000000"/>
                <w:sz w:val="20"/>
                <w:szCs w:val="20"/>
                <w:lang w:eastAsia="en-GB"/>
              </w:rPr>
              <w:t>£3,000</w:t>
            </w:r>
          </w:p>
        </w:tc>
        <w:tc>
          <w:tcPr>
            <w:tcW w:w="5297" w:type="dxa"/>
            <w:tcBorders>
              <w:top w:val="nil"/>
              <w:left w:val="nil"/>
              <w:bottom w:val="single" w:sz="8" w:space="0" w:color="B3CC82"/>
              <w:right w:val="single" w:sz="8" w:space="0" w:color="B3CC82"/>
            </w:tcBorders>
            <w:shd w:val="clear" w:color="000000" w:fill="E6EED5"/>
            <w:vAlign w:val="center"/>
            <w:hideMark/>
          </w:tcPr>
          <w:p w:rsidR="001A244F" w:rsidRPr="001A244F" w:rsidRDefault="001A244F" w:rsidP="001A244F">
            <w:pPr>
              <w:rPr>
                <w:rFonts w:eastAsia="Times New Roman" w:cs="Calibri"/>
                <w:color w:val="000000"/>
                <w:sz w:val="20"/>
                <w:szCs w:val="20"/>
                <w:lang w:eastAsia="en-GB"/>
              </w:rPr>
            </w:pPr>
            <w:r w:rsidRPr="001A244F">
              <w:rPr>
                <w:rFonts w:eastAsia="Times New Roman" w:cs="Calibri"/>
                <w:color w:val="000000"/>
                <w:sz w:val="20"/>
                <w:szCs w:val="20"/>
                <w:lang w:eastAsia="en-GB"/>
              </w:rPr>
              <w:t>Inspiring careers guidance , promoting engagement</w:t>
            </w:r>
          </w:p>
        </w:tc>
      </w:tr>
      <w:tr w:rsidR="001A244F" w:rsidRPr="001A244F" w:rsidTr="001A244F">
        <w:trPr>
          <w:trHeight w:val="309"/>
        </w:trPr>
        <w:tc>
          <w:tcPr>
            <w:tcW w:w="6799" w:type="dxa"/>
            <w:tcBorders>
              <w:top w:val="nil"/>
              <w:left w:val="single" w:sz="8" w:space="0" w:color="B3CC82"/>
              <w:bottom w:val="single" w:sz="8" w:space="0" w:color="B3CC82"/>
              <w:right w:val="single" w:sz="8" w:space="0" w:color="B3CC82"/>
            </w:tcBorders>
            <w:shd w:val="clear" w:color="000000" w:fill="CDDDAC"/>
            <w:vAlign w:val="center"/>
            <w:hideMark/>
          </w:tcPr>
          <w:p w:rsidR="001A244F" w:rsidRPr="001A244F" w:rsidRDefault="001A244F" w:rsidP="001A244F">
            <w:pPr>
              <w:rPr>
                <w:rFonts w:eastAsia="Times New Roman" w:cs="Calibri"/>
                <w:color w:val="000000"/>
                <w:sz w:val="20"/>
                <w:szCs w:val="20"/>
                <w:lang w:eastAsia="en-GB"/>
              </w:rPr>
            </w:pPr>
            <w:r w:rsidRPr="001A244F">
              <w:rPr>
                <w:rFonts w:eastAsia="Times New Roman" w:cs="Calibri"/>
                <w:color w:val="000000"/>
                <w:sz w:val="20"/>
                <w:szCs w:val="20"/>
                <w:lang w:eastAsia="en-GB"/>
              </w:rPr>
              <w:t>Pre 16 Work Experience Services</w:t>
            </w:r>
          </w:p>
        </w:tc>
        <w:tc>
          <w:tcPr>
            <w:tcW w:w="760" w:type="dxa"/>
            <w:tcBorders>
              <w:top w:val="nil"/>
              <w:left w:val="nil"/>
              <w:bottom w:val="single" w:sz="8" w:space="0" w:color="B3CC82"/>
              <w:right w:val="single" w:sz="8" w:space="0" w:color="B3CC82"/>
            </w:tcBorders>
            <w:shd w:val="clear" w:color="000000" w:fill="CDDDAC"/>
            <w:vAlign w:val="center"/>
            <w:hideMark/>
          </w:tcPr>
          <w:p w:rsidR="001A244F" w:rsidRPr="001A244F" w:rsidRDefault="001A244F" w:rsidP="001A244F">
            <w:pPr>
              <w:jc w:val="center"/>
              <w:rPr>
                <w:rFonts w:eastAsia="Times New Roman" w:cs="Calibri"/>
                <w:color w:val="000000"/>
                <w:sz w:val="20"/>
                <w:szCs w:val="20"/>
                <w:lang w:eastAsia="en-GB"/>
              </w:rPr>
            </w:pPr>
            <w:r w:rsidRPr="001A244F">
              <w:rPr>
                <w:rFonts w:eastAsia="Times New Roman" w:cs="Calibri"/>
                <w:color w:val="000000"/>
                <w:sz w:val="20"/>
                <w:szCs w:val="20"/>
                <w:lang w:eastAsia="en-GB"/>
              </w:rPr>
              <w:t>PL</w:t>
            </w:r>
          </w:p>
        </w:tc>
        <w:tc>
          <w:tcPr>
            <w:tcW w:w="959" w:type="dxa"/>
            <w:tcBorders>
              <w:top w:val="nil"/>
              <w:left w:val="nil"/>
              <w:bottom w:val="single" w:sz="8" w:space="0" w:color="B3CC82"/>
              <w:right w:val="single" w:sz="8" w:space="0" w:color="B3CC82"/>
            </w:tcBorders>
            <w:shd w:val="clear" w:color="000000" w:fill="CDDDAC"/>
            <w:vAlign w:val="center"/>
            <w:hideMark/>
          </w:tcPr>
          <w:p w:rsidR="001A244F" w:rsidRPr="001A244F" w:rsidRDefault="001A244F" w:rsidP="001A244F">
            <w:pPr>
              <w:jc w:val="center"/>
              <w:rPr>
                <w:rFonts w:eastAsia="Times New Roman" w:cs="Calibri"/>
                <w:color w:val="000000"/>
                <w:sz w:val="16"/>
                <w:szCs w:val="16"/>
                <w:lang w:eastAsia="en-GB"/>
              </w:rPr>
            </w:pPr>
            <w:r w:rsidRPr="001A244F">
              <w:rPr>
                <w:rFonts w:eastAsia="Times New Roman" w:cs="Calibri"/>
                <w:color w:val="000000"/>
                <w:sz w:val="16"/>
                <w:szCs w:val="16"/>
                <w:lang w:eastAsia="en-GB"/>
              </w:rPr>
              <w:t>May-19</w:t>
            </w:r>
          </w:p>
        </w:tc>
        <w:tc>
          <w:tcPr>
            <w:tcW w:w="1037" w:type="dxa"/>
            <w:tcBorders>
              <w:top w:val="nil"/>
              <w:left w:val="nil"/>
              <w:bottom w:val="single" w:sz="8" w:space="0" w:color="B3CC82"/>
              <w:right w:val="single" w:sz="8" w:space="0" w:color="B3CC82"/>
            </w:tcBorders>
            <w:shd w:val="clear" w:color="000000" w:fill="CDDDAC"/>
            <w:vAlign w:val="center"/>
            <w:hideMark/>
          </w:tcPr>
          <w:p w:rsidR="001A244F" w:rsidRPr="001A244F" w:rsidRDefault="001A244F" w:rsidP="001A244F">
            <w:pPr>
              <w:jc w:val="right"/>
              <w:rPr>
                <w:rFonts w:eastAsia="Times New Roman" w:cs="Calibri"/>
                <w:color w:val="000000"/>
                <w:sz w:val="20"/>
                <w:szCs w:val="20"/>
                <w:lang w:eastAsia="en-GB"/>
              </w:rPr>
            </w:pPr>
            <w:r w:rsidRPr="001A244F">
              <w:rPr>
                <w:rFonts w:eastAsia="Times New Roman" w:cs="Calibri"/>
                <w:color w:val="000000"/>
                <w:sz w:val="20"/>
                <w:szCs w:val="20"/>
                <w:lang w:eastAsia="en-GB"/>
              </w:rPr>
              <w:t>£11,560</w:t>
            </w:r>
          </w:p>
        </w:tc>
        <w:tc>
          <w:tcPr>
            <w:tcW w:w="5297" w:type="dxa"/>
            <w:tcBorders>
              <w:top w:val="nil"/>
              <w:left w:val="nil"/>
              <w:bottom w:val="single" w:sz="8" w:space="0" w:color="B3CC82"/>
              <w:right w:val="single" w:sz="8" w:space="0" w:color="B3CC82"/>
            </w:tcBorders>
            <w:shd w:val="clear" w:color="000000" w:fill="CDDDAC"/>
            <w:vAlign w:val="center"/>
            <w:hideMark/>
          </w:tcPr>
          <w:p w:rsidR="001A244F" w:rsidRPr="001A244F" w:rsidRDefault="001A244F" w:rsidP="001A244F">
            <w:pPr>
              <w:rPr>
                <w:rFonts w:eastAsia="Times New Roman" w:cs="Calibri"/>
                <w:color w:val="000000"/>
                <w:sz w:val="20"/>
                <w:szCs w:val="20"/>
                <w:lang w:eastAsia="en-GB"/>
              </w:rPr>
            </w:pPr>
            <w:r w:rsidRPr="001A244F">
              <w:rPr>
                <w:rFonts w:eastAsia="Times New Roman" w:cs="Calibri"/>
                <w:color w:val="000000"/>
                <w:sz w:val="20"/>
                <w:szCs w:val="20"/>
                <w:lang w:eastAsia="en-GB"/>
              </w:rPr>
              <w:t>Experiencing the world of work, promoting engagement</w:t>
            </w:r>
          </w:p>
        </w:tc>
      </w:tr>
      <w:tr w:rsidR="001A244F" w:rsidRPr="001A244F" w:rsidTr="001A244F">
        <w:trPr>
          <w:trHeight w:val="525"/>
        </w:trPr>
        <w:tc>
          <w:tcPr>
            <w:tcW w:w="6799" w:type="dxa"/>
            <w:tcBorders>
              <w:top w:val="nil"/>
              <w:left w:val="single" w:sz="8" w:space="0" w:color="B3CC82"/>
              <w:bottom w:val="single" w:sz="8" w:space="0" w:color="B3CC82"/>
              <w:right w:val="single" w:sz="8" w:space="0" w:color="B3CC82"/>
            </w:tcBorders>
            <w:shd w:val="clear" w:color="000000" w:fill="E6EED5"/>
            <w:vAlign w:val="center"/>
            <w:hideMark/>
          </w:tcPr>
          <w:p w:rsidR="001A244F" w:rsidRPr="001A244F" w:rsidRDefault="001A244F" w:rsidP="001A244F">
            <w:pPr>
              <w:rPr>
                <w:rFonts w:eastAsia="Times New Roman" w:cs="Calibri"/>
                <w:color w:val="000000"/>
                <w:sz w:val="20"/>
                <w:szCs w:val="20"/>
                <w:lang w:eastAsia="en-GB"/>
              </w:rPr>
            </w:pPr>
            <w:r w:rsidRPr="001A244F">
              <w:rPr>
                <w:rFonts w:eastAsia="Times New Roman" w:cs="Calibri"/>
                <w:color w:val="000000"/>
                <w:sz w:val="20"/>
                <w:szCs w:val="20"/>
                <w:lang w:eastAsia="en-GB"/>
              </w:rPr>
              <w:t>Uniform Support Grant (preparedness for school) –bags /planners /uniform  / ties / Lanyards</w:t>
            </w:r>
          </w:p>
        </w:tc>
        <w:tc>
          <w:tcPr>
            <w:tcW w:w="760" w:type="dxa"/>
            <w:tcBorders>
              <w:top w:val="nil"/>
              <w:left w:val="nil"/>
              <w:bottom w:val="single" w:sz="8" w:space="0" w:color="B3CC82"/>
              <w:right w:val="single" w:sz="8" w:space="0" w:color="B3CC82"/>
            </w:tcBorders>
            <w:shd w:val="clear" w:color="000000" w:fill="E6EED5"/>
            <w:vAlign w:val="center"/>
            <w:hideMark/>
          </w:tcPr>
          <w:p w:rsidR="001A244F" w:rsidRPr="001A244F" w:rsidRDefault="001A244F" w:rsidP="001A244F">
            <w:pPr>
              <w:jc w:val="center"/>
              <w:rPr>
                <w:rFonts w:eastAsia="Times New Roman" w:cs="Calibri"/>
                <w:color w:val="000000"/>
                <w:sz w:val="20"/>
                <w:szCs w:val="20"/>
                <w:lang w:eastAsia="en-GB"/>
              </w:rPr>
            </w:pPr>
            <w:r w:rsidRPr="001A244F">
              <w:rPr>
                <w:rFonts w:eastAsia="Times New Roman" w:cs="Calibri"/>
                <w:color w:val="000000"/>
                <w:sz w:val="20"/>
                <w:szCs w:val="20"/>
                <w:lang w:eastAsia="en-GB"/>
              </w:rPr>
              <w:t>GH</w:t>
            </w:r>
          </w:p>
        </w:tc>
        <w:tc>
          <w:tcPr>
            <w:tcW w:w="959" w:type="dxa"/>
            <w:tcBorders>
              <w:top w:val="nil"/>
              <w:left w:val="nil"/>
              <w:bottom w:val="single" w:sz="8" w:space="0" w:color="B3CC82"/>
              <w:right w:val="single" w:sz="8" w:space="0" w:color="B3CC82"/>
            </w:tcBorders>
            <w:shd w:val="clear" w:color="000000" w:fill="E6EED5"/>
            <w:vAlign w:val="center"/>
            <w:hideMark/>
          </w:tcPr>
          <w:p w:rsidR="001A244F" w:rsidRPr="001A244F" w:rsidRDefault="001A244F" w:rsidP="001A244F">
            <w:pPr>
              <w:jc w:val="center"/>
              <w:rPr>
                <w:rFonts w:eastAsia="Times New Roman" w:cs="Calibri"/>
                <w:color w:val="000000"/>
                <w:sz w:val="16"/>
                <w:szCs w:val="16"/>
                <w:lang w:eastAsia="en-GB"/>
              </w:rPr>
            </w:pPr>
            <w:r w:rsidRPr="001A244F">
              <w:rPr>
                <w:rFonts w:eastAsia="Times New Roman" w:cs="Calibri"/>
                <w:color w:val="000000"/>
                <w:sz w:val="16"/>
                <w:szCs w:val="16"/>
                <w:lang w:eastAsia="en-GB"/>
              </w:rPr>
              <w:t>On going</w:t>
            </w:r>
          </w:p>
        </w:tc>
        <w:tc>
          <w:tcPr>
            <w:tcW w:w="1037" w:type="dxa"/>
            <w:tcBorders>
              <w:top w:val="nil"/>
              <w:left w:val="nil"/>
              <w:bottom w:val="single" w:sz="8" w:space="0" w:color="B3CC82"/>
              <w:right w:val="single" w:sz="8" w:space="0" w:color="B3CC82"/>
            </w:tcBorders>
            <w:shd w:val="clear" w:color="000000" w:fill="E6EED5"/>
            <w:vAlign w:val="center"/>
            <w:hideMark/>
          </w:tcPr>
          <w:p w:rsidR="001A244F" w:rsidRPr="001A244F" w:rsidRDefault="001A244F" w:rsidP="001A244F">
            <w:pPr>
              <w:jc w:val="right"/>
              <w:rPr>
                <w:rFonts w:eastAsia="Times New Roman" w:cs="Calibri"/>
                <w:color w:val="000000"/>
                <w:sz w:val="20"/>
                <w:szCs w:val="20"/>
                <w:lang w:eastAsia="en-GB"/>
              </w:rPr>
            </w:pPr>
            <w:r w:rsidRPr="001A244F">
              <w:rPr>
                <w:rFonts w:eastAsia="Times New Roman" w:cs="Calibri"/>
                <w:color w:val="000000"/>
                <w:sz w:val="20"/>
                <w:szCs w:val="20"/>
                <w:lang w:eastAsia="en-GB"/>
              </w:rPr>
              <w:t>£3,500</w:t>
            </w:r>
          </w:p>
        </w:tc>
        <w:tc>
          <w:tcPr>
            <w:tcW w:w="5297" w:type="dxa"/>
            <w:tcBorders>
              <w:top w:val="nil"/>
              <w:left w:val="nil"/>
              <w:bottom w:val="single" w:sz="8" w:space="0" w:color="B3CC82"/>
              <w:right w:val="single" w:sz="8" w:space="0" w:color="B3CC82"/>
            </w:tcBorders>
            <w:shd w:val="clear" w:color="000000" w:fill="E6EED5"/>
            <w:vAlign w:val="center"/>
            <w:hideMark/>
          </w:tcPr>
          <w:p w:rsidR="001A244F" w:rsidRPr="001A244F" w:rsidRDefault="001A244F" w:rsidP="001A244F">
            <w:pPr>
              <w:rPr>
                <w:rFonts w:eastAsia="Times New Roman" w:cs="Calibri"/>
                <w:color w:val="000000"/>
                <w:sz w:val="20"/>
                <w:szCs w:val="20"/>
                <w:lang w:eastAsia="en-GB"/>
              </w:rPr>
            </w:pPr>
            <w:r w:rsidRPr="001A244F">
              <w:rPr>
                <w:rFonts w:eastAsia="Times New Roman" w:cs="Calibri"/>
                <w:color w:val="000000"/>
                <w:sz w:val="20"/>
                <w:szCs w:val="20"/>
                <w:lang w:eastAsia="en-GB"/>
              </w:rPr>
              <w:t>Pupils supported in learning, improved achievement</w:t>
            </w:r>
          </w:p>
        </w:tc>
      </w:tr>
      <w:tr w:rsidR="001A244F" w:rsidRPr="001A244F" w:rsidTr="001A244F">
        <w:trPr>
          <w:trHeight w:val="267"/>
        </w:trPr>
        <w:tc>
          <w:tcPr>
            <w:tcW w:w="6799" w:type="dxa"/>
            <w:tcBorders>
              <w:top w:val="nil"/>
              <w:left w:val="single" w:sz="8" w:space="0" w:color="B3CC82"/>
              <w:bottom w:val="single" w:sz="8" w:space="0" w:color="B3CC82"/>
              <w:right w:val="single" w:sz="8" w:space="0" w:color="B3CC82"/>
            </w:tcBorders>
            <w:shd w:val="clear" w:color="000000" w:fill="CDDDAC"/>
            <w:vAlign w:val="center"/>
            <w:hideMark/>
          </w:tcPr>
          <w:p w:rsidR="001A244F" w:rsidRPr="001A244F" w:rsidRDefault="001A244F" w:rsidP="001A244F">
            <w:pPr>
              <w:rPr>
                <w:rFonts w:eastAsia="Times New Roman" w:cs="Calibri"/>
                <w:color w:val="000000"/>
                <w:sz w:val="20"/>
                <w:szCs w:val="20"/>
                <w:lang w:eastAsia="en-GB"/>
              </w:rPr>
            </w:pPr>
            <w:r w:rsidRPr="001A244F">
              <w:rPr>
                <w:rFonts w:eastAsia="Times New Roman" w:cs="Calibri"/>
                <w:color w:val="000000"/>
                <w:sz w:val="20"/>
                <w:szCs w:val="20"/>
                <w:lang w:eastAsia="en-GB"/>
              </w:rPr>
              <w:t>Recreational Options Support for students</w:t>
            </w:r>
          </w:p>
        </w:tc>
        <w:tc>
          <w:tcPr>
            <w:tcW w:w="760" w:type="dxa"/>
            <w:tcBorders>
              <w:top w:val="nil"/>
              <w:left w:val="nil"/>
              <w:bottom w:val="single" w:sz="8" w:space="0" w:color="B3CC82"/>
              <w:right w:val="single" w:sz="8" w:space="0" w:color="B3CC82"/>
            </w:tcBorders>
            <w:shd w:val="clear" w:color="000000" w:fill="CDDDAC"/>
            <w:vAlign w:val="center"/>
            <w:hideMark/>
          </w:tcPr>
          <w:p w:rsidR="001A244F" w:rsidRPr="001A244F" w:rsidRDefault="001A244F" w:rsidP="001A244F">
            <w:pPr>
              <w:jc w:val="center"/>
              <w:rPr>
                <w:rFonts w:eastAsia="Times New Roman" w:cs="Calibri"/>
                <w:color w:val="000000"/>
                <w:sz w:val="20"/>
                <w:szCs w:val="20"/>
                <w:lang w:eastAsia="en-GB"/>
              </w:rPr>
            </w:pPr>
            <w:r w:rsidRPr="001A244F">
              <w:rPr>
                <w:rFonts w:eastAsia="Times New Roman" w:cs="Calibri"/>
                <w:color w:val="000000"/>
                <w:sz w:val="20"/>
                <w:szCs w:val="20"/>
                <w:lang w:eastAsia="en-GB"/>
              </w:rPr>
              <w:t>HM</w:t>
            </w:r>
          </w:p>
        </w:tc>
        <w:tc>
          <w:tcPr>
            <w:tcW w:w="959" w:type="dxa"/>
            <w:tcBorders>
              <w:top w:val="nil"/>
              <w:left w:val="nil"/>
              <w:bottom w:val="single" w:sz="8" w:space="0" w:color="B3CC82"/>
              <w:right w:val="single" w:sz="8" w:space="0" w:color="B3CC82"/>
            </w:tcBorders>
            <w:shd w:val="clear" w:color="000000" w:fill="CDDDAC"/>
            <w:vAlign w:val="center"/>
            <w:hideMark/>
          </w:tcPr>
          <w:p w:rsidR="001A244F" w:rsidRPr="001A244F" w:rsidRDefault="001A244F" w:rsidP="001A244F">
            <w:pPr>
              <w:jc w:val="center"/>
              <w:rPr>
                <w:rFonts w:eastAsia="Times New Roman" w:cs="Calibri"/>
                <w:color w:val="000000"/>
                <w:sz w:val="20"/>
                <w:szCs w:val="20"/>
                <w:lang w:eastAsia="en-GB"/>
              </w:rPr>
            </w:pPr>
            <w:r w:rsidRPr="001A244F">
              <w:rPr>
                <w:rFonts w:eastAsia="Times New Roman" w:cs="Calibri"/>
                <w:color w:val="000000"/>
                <w:sz w:val="18"/>
                <w:szCs w:val="20"/>
                <w:lang w:eastAsia="en-GB"/>
              </w:rPr>
              <w:t>Sept - Feb</w:t>
            </w:r>
          </w:p>
        </w:tc>
        <w:tc>
          <w:tcPr>
            <w:tcW w:w="1037" w:type="dxa"/>
            <w:tcBorders>
              <w:top w:val="nil"/>
              <w:left w:val="nil"/>
              <w:bottom w:val="single" w:sz="8" w:space="0" w:color="B3CC82"/>
              <w:right w:val="single" w:sz="8" w:space="0" w:color="B3CC82"/>
            </w:tcBorders>
            <w:shd w:val="clear" w:color="000000" w:fill="CDDDAC"/>
            <w:vAlign w:val="center"/>
            <w:hideMark/>
          </w:tcPr>
          <w:p w:rsidR="001A244F" w:rsidRPr="001A244F" w:rsidRDefault="001A244F" w:rsidP="001A244F">
            <w:pPr>
              <w:jc w:val="right"/>
              <w:rPr>
                <w:rFonts w:eastAsia="Times New Roman" w:cs="Calibri"/>
                <w:color w:val="000000"/>
                <w:sz w:val="20"/>
                <w:szCs w:val="20"/>
                <w:lang w:eastAsia="en-GB"/>
              </w:rPr>
            </w:pPr>
            <w:r w:rsidRPr="001A244F">
              <w:rPr>
                <w:rFonts w:eastAsia="Times New Roman" w:cs="Calibri"/>
                <w:color w:val="000000"/>
                <w:sz w:val="20"/>
                <w:szCs w:val="20"/>
                <w:lang w:eastAsia="en-GB"/>
              </w:rPr>
              <w:t>£6,000</w:t>
            </w:r>
          </w:p>
        </w:tc>
        <w:tc>
          <w:tcPr>
            <w:tcW w:w="5297" w:type="dxa"/>
            <w:tcBorders>
              <w:top w:val="nil"/>
              <w:left w:val="nil"/>
              <w:bottom w:val="single" w:sz="8" w:space="0" w:color="B3CC82"/>
              <w:right w:val="single" w:sz="8" w:space="0" w:color="B3CC82"/>
            </w:tcBorders>
            <w:shd w:val="clear" w:color="000000" w:fill="CDDDAC"/>
            <w:vAlign w:val="center"/>
            <w:hideMark/>
          </w:tcPr>
          <w:p w:rsidR="001A244F" w:rsidRPr="001A244F" w:rsidRDefault="001A244F" w:rsidP="001A244F">
            <w:pPr>
              <w:rPr>
                <w:rFonts w:eastAsia="Times New Roman" w:cs="Calibri"/>
                <w:color w:val="000000"/>
                <w:sz w:val="20"/>
                <w:szCs w:val="20"/>
                <w:lang w:eastAsia="en-GB"/>
              </w:rPr>
            </w:pPr>
            <w:r w:rsidRPr="001A244F">
              <w:rPr>
                <w:rFonts w:eastAsia="Times New Roman" w:cs="Calibri"/>
                <w:color w:val="000000"/>
                <w:sz w:val="20"/>
                <w:szCs w:val="20"/>
                <w:lang w:eastAsia="en-GB"/>
              </w:rPr>
              <w:t>Pupils supported in learning, improved achievement</w:t>
            </w:r>
          </w:p>
        </w:tc>
      </w:tr>
      <w:tr w:rsidR="001A244F" w:rsidRPr="001A244F" w:rsidTr="001A244F">
        <w:trPr>
          <w:trHeight w:val="390"/>
        </w:trPr>
        <w:tc>
          <w:tcPr>
            <w:tcW w:w="6799" w:type="dxa"/>
            <w:tcBorders>
              <w:top w:val="nil"/>
              <w:left w:val="single" w:sz="8" w:space="0" w:color="B3CC82"/>
              <w:bottom w:val="single" w:sz="8" w:space="0" w:color="B3CC82"/>
              <w:right w:val="single" w:sz="8" w:space="0" w:color="B3CC82"/>
            </w:tcBorders>
            <w:shd w:val="clear" w:color="000000" w:fill="E6EED5"/>
            <w:vAlign w:val="center"/>
            <w:hideMark/>
          </w:tcPr>
          <w:p w:rsidR="001A244F" w:rsidRPr="001A244F" w:rsidRDefault="001A244F" w:rsidP="001A244F">
            <w:pPr>
              <w:rPr>
                <w:rFonts w:eastAsia="Times New Roman" w:cs="Calibri"/>
                <w:color w:val="000000"/>
                <w:sz w:val="20"/>
                <w:szCs w:val="20"/>
                <w:lang w:eastAsia="en-GB"/>
              </w:rPr>
            </w:pPr>
            <w:r w:rsidRPr="001A244F">
              <w:rPr>
                <w:rFonts w:eastAsia="Times New Roman" w:cs="Calibri"/>
                <w:color w:val="000000"/>
                <w:sz w:val="20"/>
                <w:szCs w:val="20"/>
                <w:lang w:eastAsia="en-GB"/>
              </w:rPr>
              <w:t xml:space="preserve">FT &amp; PT Learning Mentor Appointment </w:t>
            </w:r>
          </w:p>
        </w:tc>
        <w:tc>
          <w:tcPr>
            <w:tcW w:w="760" w:type="dxa"/>
            <w:tcBorders>
              <w:top w:val="nil"/>
              <w:left w:val="nil"/>
              <w:bottom w:val="single" w:sz="8" w:space="0" w:color="B3CC82"/>
              <w:right w:val="single" w:sz="8" w:space="0" w:color="B3CC82"/>
            </w:tcBorders>
            <w:shd w:val="clear" w:color="000000" w:fill="E6EED5"/>
            <w:vAlign w:val="center"/>
            <w:hideMark/>
          </w:tcPr>
          <w:p w:rsidR="001A244F" w:rsidRPr="001A244F" w:rsidRDefault="001A244F" w:rsidP="001A244F">
            <w:pPr>
              <w:jc w:val="center"/>
              <w:rPr>
                <w:rFonts w:eastAsia="Times New Roman" w:cs="Calibri"/>
                <w:color w:val="000000"/>
                <w:sz w:val="20"/>
                <w:szCs w:val="20"/>
                <w:lang w:eastAsia="en-GB"/>
              </w:rPr>
            </w:pPr>
            <w:r w:rsidRPr="001A244F">
              <w:rPr>
                <w:rFonts w:eastAsia="Times New Roman" w:cs="Calibri"/>
                <w:color w:val="000000"/>
                <w:sz w:val="20"/>
                <w:szCs w:val="20"/>
                <w:lang w:eastAsia="en-GB"/>
              </w:rPr>
              <w:t>GH</w:t>
            </w:r>
          </w:p>
        </w:tc>
        <w:tc>
          <w:tcPr>
            <w:tcW w:w="959" w:type="dxa"/>
            <w:tcBorders>
              <w:top w:val="nil"/>
              <w:left w:val="nil"/>
              <w:bottom w:val="single" w:sz="8" w:space="0" w:color="B3CC82"/>
              <w:right w:val="single" w:sz="8" w:space="0" w:color="B3CC82"/>
            </w:tcBorders>
            <w:shd w:val="clear" w:color="000000" w:fill="E6EED5"/>
            <w:vAlign w:val="center"/>
            <w:hideMark/>
          </w:tcPr>
          <w:p w:rsidR="001A244F" w:rsidRPr="001A244F" w:rsidRDefault="001A244F" w:rsidP="001A244F">
            <w:pPr>
              <w:jc w:val="center"/>
              <w:rPr>
                <w:rFonts w:eastAsia="Times New Roman" w:cs="Calibri"/>
                <w:color w:val="000000"/>
                <w:sz w:val="16"/>
                <w:szCs w:val="16"/>
                <w:lang w:eastAsia="en-GB"/>
              </w:rPr>
            </w:pPr>
            <w:r w:rsidRPr="001A244F">
              <w:rPr>
                <w:rFonts w:eastAsia="Times New Roman" w:cs="Calibri"/>
                <w:color w:val="000000"/>
                <w:sz w:val="16"/>
                <w:szCs w:val="16"/>
                <w:lang w:eastAsia="en-GB"/>
              </w:rPr>
              <w:t>On going</w:t>
            </w:r>
          </w:p>
        </w:tc>
        <w:tc>
          <w:tcPr>
            <w:tcW w:w="1037" w:type="dxa"/>
            <w:tcBorders>
              <w:top w:val="nil"/>
              <w:left w:val="nil"/>
              <w:bottom w:val="single" w:sz="8" w:space="0" w:color="B3CC82"/>
              <w:right w:val="single" w:sz="8" w:space="0" w:color="B3CC82"/>
            </w:tcBorders>
            <w:shd w:val="clear" w:color="000000" w:fill="E6EED5"/>
            <w:vAlign w:val="center"/>
            <w:hideMark/>
          </w:tcPr>
          <w:p w:rsidR="001A244F" w:rsidRPr="001A244F" w:rsidRDefault="001A244F" w:rsidP="001A244F">
            <w:pPr>
              <w:jc w:val="right"/>
              <w:rPr>
                <w:rFonts w:eastAsia="Times New Roman" w:cs="Calibri"/>
                <w:color w:val="000000"/>
                <w:sz w:val="20"/>
                <w:szCs w:val="20"/>
                <w:lang w:eastAsia="en-GB"/>
              </w:rPr>
            </w:pPr>
            <w:r w:rsidRPr="001A244F">
              <w:rPr>
                <w:rFonts w:eastAsia="Times New Roman" w:cs="Calibri"/>
                <w:color w:val="000000"/>
                <w:sz w:val="20"/>
                <w:szCs w:val="20"/>
                <w:lang w:eastAsia="en-GB"/>
              </w:rPr>
              <w:t>£18,110</w:t>
            </w:r>
          </w:p>
        </w:tc>
        <w:tc>
          <w:tcPr>
            <w:tcW w:w="5297" w:type="dxa"/>
            <w:tcBorders>
              <w:top w:val="nil"/>
              <w:left w:val="nil"/>
              <w:bottom w:val="single" w:sz="8" w:space="0" w:color="B3CC82"/>
              <w:right w:val="single" w:sz="8" w:space="0" w:color="B3CC82"/>
            </w:tcBorders>
            <w:shd w:val="clear" w:color="000000" w:fill="E6EED5"/>
            <w:vAlign w:val="center"/>
            <w:hideMark/>
          </w:tcPr>
          <w:p w:rsidR="001A244F" w:rsidRPr="001A244F" w:rsidRDefault="001A244F" w:rsidP="001A244F">
            <w:pPr>
              <w:rPr>
                <w:rFonts w:eastAsia="Times New Roman" w:cs="Calibri"/>
                <w:color w:val="000000"/>
                <w:sz w:val="20"/>
                <w:szCs w:val="20"/>
                <w:lang w:eastAsia="en-GB"/>
              </w:rPr>
            </w:pPr>
            <w:r w:rsidRPr="001A244F">
              <w:rPr>
                <w:rFonts w:eastAsia="Times New Roman" w:cs="Calibri"/>
                <w:color w:val="000000"/>
                <w:sz w:val="20"/>
                <w:szCs w:val="20"/>
                <w:lang w:eastAsia="en-GB"/>
              </w:rPr>
              <w:t>Improved confidence/mental well-being, raised achievement</w:t>
            </w:r>
          </w:p>
        </w:tc>
      </w:tr>
      <w:tr w:rsidR="001A244F" w:rsidRPr="001A244F" w:rsidTr="00A52935">
        <w:trPr>
          <w:trHeight w:val="276"/>
        </w:trPr>
        <w:tc>
          <w:tcPr>
            <w:tcW w:w="6799" w:type="dxa"/>
            <w:tcBorders>
              <w:top w:val="nil"/>
              <w:left w:val="single" w:sz="8" w:space="0" w:color="B3CC82"/>
              <w:bottom w:val="single" w:sz="8" w:space="0" w:color="B3CC82"/>
              <w:right w:val="single" w:sz="8" w:space="0" w:color="B3CC82"/>
            </w:tcBorders>
            <w:shd w:val="clear" w:color="000000" w:fill="CDDDAC"/>
            <w:vAlign w:val="center"/>
            <w:hideMark/>
          </w:tcPr>
          <w:p w:rsidR="001A244F" w:rsidRPr="001A244F" w:rsidRDefault="001A244F" w:rsidP="001A244F">
            <w:pPr>
              <w:rPr>
                <w:rFonts w:eastAsia="Times New Roman" w:cs="Calibri"/>
                <w:color w:val="000000"/>
                <w:sz w:val="20"/>
                <w:szCs w:val="20"/>
                <w:lang w:eastAsia="en-GB"/>
              </w:rPr>
            </w:pPr>
            <w:r w:rsidRPr="001A244F">
              <w:rPr>
                <w:rFonts w:eastAsia="Times New Roman" w:cs="Calibri"/>
                <w:color w:val="000000"/>
                <w:sz w:val="20"/>
                <w:szCs w:val="20"/>
                <w:lang w:eastAsia="en-GB"/>
              </w:rPr>
              <w:t>Counselling Provision ( group and 1-1)</w:t>
            </w:r>
          </w:p>
        </w:tc>
        <w:tc>
          <w:tcPr>
            <w:tcW w:w="760" w:type="dxa"/>
            <w:tcBorders>
              <w:top w:val="nil"/>
              <w:left w:val="nil"/>
              <w:bottom w:val="single" w:sz="8" w:space="0" w:color="B3CC82"/>
              <w:right w:val="single" w:sz="8" w:space="0" w:color="B3CC82"/>
            </w:tcBorders>
            <w:shd w:val="clear" w:color="000000" w:fill="CDDDAC"/>
            <w:vAlign w:val="center"/>
            <w:hideMark/>
          </w:tcPr>
          <w:p w:rsidR="001A244F" w:rsidRPr="001A244F" w:rsidRDefault="001A244F" w:rsidP="001A244F">
            <w:pPr>
              <w:jc w:val="center"/>
              <w:rPr>
                <w:rFonts w:eastAsia="Times New Roman" w:cs="Calibri"/>
                <w:color w:val="000000"/>
                <w:sz w:val="20"/>
                <w:szCs w:val="20"/>
                <w:lang w:eastAsia="en-GB"/>
              </w:rPr>
            </w:pPr>
            <w:r w:rsidRPr="001A244F">
              <w:rPr>
                <w:rFonts w:eastAsia="Times New Roman" w:cs="Calibri"/>
                <w:color w:val="000000"/>
                <w:sz w:val="20"/>
                <w:szCs w:val="20"/>
                <w:lang w:eastAsia="en-GB"/>
              </w:rPr>
              <w:t>GH</w:t>
            </w:r>
          </w:p>
        </w:tc>
        <w:tc>
          <w:tcPr>
            <w:tcW w:w="959" w:type="dxa"/>
            <w:tcBorders>
              <w:top w:val="nil"/>
              <w:left w:val="nil"/>
              <w:bottom w:val="single" w:sz="8" w:space="0" w:color="B3CC82"/>
              <w:right w:val="single" w:sz="8" w:space="0" w:color="B3CC82"/>
            </w:tcBorders>
            <w:shd w:val="clear" w:color="000000" w:fill="CDDDAC"/>
            <w:vAlign w:val="center"/>
            <w:hideMark/>
          </w:tcPr>
          <w:p w:rsidR="001A244F" w:rsidRPr="001A244F" w:rsidRDefault="001A244F" w:rsidP="001A244F">
            <w:pPr>
              <w:jc w:val="center"/>
              <w:rPr>
                <w:rFonts w:eastAsia="Times New Roman" w:cs="Calibri"/>
                <w:color w:val="000000"/>
                <w:sz w:val="16"/>
                <w:szCs w:val="16"/>
                <w:lang w:eastAsia="en-GB"/>
              </w:rPr>
            </w:pPr>
            <w:r w:rsidRPr="001A244F">
              <w:rPr>
                <w:rFonts w:eastAsia="Times New Roman" w:cs="Calibri"/>
                <w:color w:val="000000"/>
                <w:sz w:val="16"/>
                <w:szCs w:val="16"/>
                <w:lang w:eastAsia="en-GB"/>
              </w:rPr>
              <w:t>On going</w:t>
            </w:r>
          </w:p>
        </w:tc>
        <w:tc>
          <w:tcPr>
            <w:tcW w:w="1037" w:type="dxa"/>
            <w:tcBorders>
              <w:top w:val="nil"/>
              <w:left w:val="nil"/>
              <w:bottom w:val="single" w:sz="8" w:space="0" w:color="B3CC82"/>
              <w:right w:val="single" w:sz="8" w:space="0" w:color="B3CC82"/>
            </w:tcBorders>
            <w:shd w:val="clear" w:color="000000" w:fill="CDDDAC"/>
            <w:vAlign w:val="center"/>
            <w:hideMark/>
          </w:tcPr>
          <w:p w:rsidR="001A244F" w:rsidRPr="001A244F" w:rsidRDefault="001A244F" w:rsidP="001A244F">
            <w:pPr>
              <w:jc w:val="right"/>
              <w:rPr>
                <w:rFonts w:eastAsia="Times New Roman" w:cs="Calibri"/>
                <w:color w:val="000000"/>
                <w:sz w:val="20"/>
                <w:szCs w:val="20"/>
                <w:lang w:eastAsia="en-GB"/>
              </w:rPr>
            </w:pPr>
            <w:r w:rsidRPr="001A244F">
              <w:rPr>
                <w:rFonts w:eastAsia="Times New Roman" w:cs="Calibri"/>
                <w:color w:val="000000"/>
                <w:sz w:val="20"/>
                <w:szCs w:val="20"/>
                <w:lang w:eastAsia="en-GB"/>
              </w:rPr>
              <w:t>£26,300</w:t>
            </w:r>
          </w:p>
        </w:tc>
        <w:tc>
          <w:tcPr>
            <w:tcW w:w="5297" w:type="dxa"/>
            <w:tcBorders>
              <w:top w:val="nil"/>
              <w:left w:val="nil"/>
              <w:bottom w:val="single" w:sz="8" w:space="0" w:color="B3CC82"/>
              <w:right w:val="single" w:sz="8" w:space="0" w:color="B3CC82"/>
            </w:tcBorders>
            <w:shd w:val="clear" w:color="000000" w:fill="CDDDAC"/>
            <w:vAlign w:val="center"/>
            <w:hideMark/>
          </w:tcPr>
          <w:p w:rsidR="001A244F" w:rsidRPr="001A244F" w:rsidRDefault="001A244F" w:rsidP="001A244F">
            <w:pPr>
              <w:rPr>
                <w:rFonts w:eastAsia="Times New Roman" w:cs="Calibri"/>
                <w:color w:val="000000"/>
                <w:sz w:val="20"/>
                <w:szCs w:val="20"/>
                <w:lang w:eastAsia="en-GB"/>
              </w:rPr>
            </w:pPr>
            <w:r w:rsidRPr="001A244F">
              <w:rPr>
                <w:rFonts w:eastAsia="Times New Roman" w:cs="Calibri"/>
                <w:color w:val="000000"/>
                <w:sz w:val="20"/>
                <w:szCs w:val="20"/>
                <w:lang w:eastAsia="en-GB"/>
              </w:rPr>
              <w:t>Improved confidence/mental well-being, raised achievement</w:t>
            </w:r>
          </w:p>
        </w:tc>
      </w:tr>
      <w:tr w:rsidR="001A244F" w:rsidRPr="001A244F" w:rsidTr="001A244F">
        <w:trPr>
          <w:trHeight w:val="390"/>
        </w:trPr>
        <w:tc>
          <w:tcPr>
            <w:tcW w:w="6799" w:type="dxa"/>
            <w:tcBorders>
              <w:top w:val="nil"/>
              <w:left w:val="single" w:sz="8" w:space="0" w:color="B3CC82"/>
              <w:bottom w:val="single" w:sz="8" w:space="0" w:color="B3CC82"/>
              <w:right w:val="single" w:sz="8" w:space="0" w:color="B3CC82"/>
            </w:tcBorders>
            <w:shd w:val="clear" w:color="000000" w:fill="E6EED5"/>
            <w:vAlign w:val="center"/>
            <w:hideMark/>
          </w:tcPr>
          <w:p w:rsidR="001A244F" w:rsidRPr="001A244F" w:rsidRDefault="001A244F" w:rsidP="001A244F">
            <w:pPr>
              <w:rPr>
                <w:rFonts w:eastAsia="Times New Roman" w:cs="Calibri"/>
                <w:color w:val="000000"/>
                <w:sz w:val="20"/>
                <w:szCs w:val="20"/>
                <w:lang w:eastAsia="en-GB"/>
              </w:rPr>
            </w:pPr>
            <w:r w:rsidRPr="001A244F">
              <w:rPr>
                <w:rFonts w:eastAsia="Times New Roman" w:cs="Calibri"/>
                <w:color w:val="000000"/>
                <w:sz w:val="20"/>
                <w:szCs w:val="20"/>
                <w:lang w:eastAsia="en-GB"/>
              </w:rPr>
              <w:t>Attendance Mentoring for those under 95%</w:t>
            </w:r>
          </w:p>
        </w:tc>
        <w:tc>
          <w:tcPr>
            <w:tcW w:w="760" w:type="dxa"/>
            <w:tcBorders>
              <w:top w:val="nil"/>
              <w:left w:val="nil"/>
              <w:bottom w:val="single" w:sz="8" w:space="0" w:color="B3CC82"/>
              <w:right w:val="single" w:sz="8" w:space="0" w:color="B3CC82"/>
            </w:tcBorders>
            <w:shd w:val="clear" w:color="000000" w:fill="E6EED5"/>
            <w:vAlign w:val="center"/>
            <w:hideMark/>
          </w:tcPr>
          <w:p w:rsidR="001A244F" w:rsidRPr="001A244F" w:rsidRDefault="001A244F" w:rsidP="001A244F">
            <w:pPr>
              <w:jc w:val="center"/>
              <w:rPr>
                <w:rFonts w:eastAsia="Times New Roman" w:cs="Calibri"/>
                <w:color w:val="000000"/>
                <w:sz w:val="20"/>
                <w:szCs w:val="20"/>
                <w:lang w:eastAsia="en-GB"/>
              </w:rPr>
            </w:pPr>
            <w:r w:rsidRPr="001A244F">
              <w:rPr>
                <w:rFonts w:eastAsia="Times New Roman" w:cs="Calibri"/>
                <w:color w:val="000000"/>
                <w:sz w:val="20"/>
                <w:szCs w:val="20"/>
                <w:lang w:eastAsia="en-GB"/>
              </w:rPr>
              <w:t>GH</w:t>
            </w:r>
          </w:p>
        </w:tc>
        <w:tc>
          <w:tcPr>
            <w:tcW w:w="959" w:type="dxa"/>
            <w:tcBorders>
              <w:top w:val="nil"/>
              <w:left w:val="nil"/>
              <w:bottom w:val="single" w:sz="8" w:space="0" w:color="B3CC82"/>
              <w:right w:val="single" w:sz="8" w:space="0" w:color="B3CC82"/>
            </w:tcBorders>
            <w:shd w:val="clear" w:color="000000" w:fill="E6EED5"/>
            <w:vAlign w:val="center"/>
            <w:hideMark/>
          </w:tcPr>
          <w:p w:rsidR="001A244F" w:rsidRPr="001A244F" w:rsidRDefault="001A244F" w:rsidP="001A244F">
            <w:pPr>
              <w:jc w:val="center"/>
              <w:rPr>
                <w:rFonts w:eastAsia="Times New Roman" w:cs="Calibri"/>
                <w:color w:val="000000"/>
                <w:sz w:val="16"/>
                <w:szCs w:val="16"/>
                <w:lang w:eastAsia="en-GB"/>
              </w:rPr>
            </w:pPr>
            <w:r w:rsidRPr="001A244F">
              <w:rPr>
                <w:rFonts w:eastAsia="Times New Roman" w:cs="Calibri"/>
                <w:color w:val="000000"/>
                <w:sz w:val="16"/>
                <w:szCs w:val="16"/>
                <w:lang w:eastAsia="en-GB"/>
              </w:rPr>
              <w:t>On going</w:t>
            </w:r>
          </w:p>
        </w:tc>
        <w:tc>
          <w:tcPr>
            <w:tcW w:w="1037" w:type="dxa"/>
            <w:tcBorders>
              <w:top w:val="nil"/>
              <w:left w:val="nil"/>
              <w:bottom w:val="single" w:sz="8" w:space="0" w:color="B3CC82"/>
              <w:right w:val="single" w:sz="8" w:space="0" w:color="B3CC82"/>
            </w:tcBorders>
            <w:shd w:val="clear" w:color="000000" w:fill="E6EED5"/>
            <w:vAlign w:val="center"/>
            <w:hideMark/>
          </w:tcPr>
          <w:p w:rsidR="001A244F" w:rsidRPr="001A244F" w:rsidRDefault="001A244F" w:rsidP="001A244F">
            <w:pPr>
              <w:jc w:val="right"/>
              <w:rPr>
                <w:rFonts w:eastAsia="Times New Roman" w:cs="Calibri"/>
                <w:color w:val="000000"/>
                <w:sz w:val="20"/>
                <w:szCs w:val="20"/>
                <w:lang w:eastAsia="en-GB"/>
              </w:rPr>
            </w:pPr>
            <w:r w:rsidRPr="001A244F">
              <w:rPr>
                <w:rFonts w:eastAsia="Times New Roman" w:cs="Calibri"/>
                <w:color w:val="000000"/>
                <w:sz w:val="20"/>
                <w:szCs w:val="20"/>
                <w:lang w:eastAsia="en-GB"/>
              </w:rPr>
              <w:t>£25,000</w:t>
            </w:r>
          </w:p>
        </w:tc>
        <w:tc>
          <w:tcPr>
            <w:tcW w:w="5297" w:type="dxa"/>
            <w:tcBorders>
              <w:top w:val="nil"/>
              <w:left w:val="nil"/>
              <w:bottom w:val="single" w:sz="8" w:space="0" w:color="B3CC82"/>
              <w:right w:val="single" w:sz="8" w:space="0" w:color="B3CC82"/>
            </w:tcBorders>
            <w:shd w:val="clear" w:color="000000" w:fill="E6EED5"/>
            <w:vAlign w:val="center"/>
            <w:hideMark/>
          </w:tcPr>
          <w:p w:rsidR="001A244F" w:rsidRPr="001A244F" w:rsidRDefault="001A244F" w:rsidP="001A244F">
            <w:pPr>
              <w:rPr>
                <w:rFonts w:eastAsia="Times New Roman" w:cs="Calibri"/>
                <w:color w:val="000000"/>
                <w:sz w:val="20"/>
                <w:szCs w:val="20"/>
                <w:lang w:eastAsia="en-GB"/>
              </w:rPr>
            </w:pPr>
            <w:r w:rsidRPr="001A244F">
              <w:rPr>
                <w:rFonts w:eastAsia="Times New Roman" w:cs="Calibri"/>
                <w:color w:val="000000"/>
                <w:sz w:val="20"/>
                <w:szCs w:val="20"/>
                <w:lang w:eastAsia="en-GB"/>
              </w:rPr>
              <w:t>Improved attendance , improved achievement</w:t>
            </w:r>
          </w:p>
        </w:tc>
      </w:tr>
      <w:tr w:rsidR="001A244F" w:rsidRPr="001A244F" w:rsidTr="00A52935">
        <w:trPr>
          <w:trHeight w:val="428"/>
        </w:trPr>
        <w:tc>
          <w:tcPr>
            <w:tcW w:w="6799" w:type="dxa"/>
            <w:tcBorders>
              <w:top w:val="nil"/>
              <w:left w:val="single" w:sz="8" w:space="0" w:color="B3CC82"/>
              <w:bottom w:val="single" w:sz="8" w:space="0" w:color="B3CC82"/>
              <w:right w:val="single" w:sz="8" w:space="0" w:color="B3CC82"/>
            </w:tcBorders>
            <w:shd w:val="clear" w:color="000000" w:fill="D6E3BC"/>
            <w:vAlign w:val="center"/>
            <w:hideMark/>
          </w:tcPr>
          <w:p w:rsidR="001A244F" w:rsidRPr="001A244F" w:rsidRDefault="00A52935" w:rsidP="001A244F">
            <w:pPr>
              <w:rPr>
                <w:rFonts w:eastAsia="Times New Roman" w:cs="Calibri"/>
                <w:color w:val="000000"/>
                <w:sz w:val="20"/>
                <w:szCs w:val="20"/>
                <w:lang w:eastAsia="en-GB"/>
              </w:rPr>
            </w:pPr>
            <w:r>
              <w:rPr>
                <w:rFonts w:eastAsia="Times New Roman" w:cs="Calibri"/>
                <w:color w:val="000000"/>
                <w:sz w:val="20"/>
                <w:szCs w:val="20"/>
                <w:lang w:eastAsia="en-GB"/>
              </w:rPr>
              <w:t>Staff appointment</w:t>
            </w:r>
            <w:r w:rsidR="001A244F" w:rsidRPr="001A244F">
              <w:rPr>
                <w:rFonts w:eastAsia="Times New Roman" w:cs="Calibri"/>
                <w:color w:val="000000"/>
                <w:sz w:val="20"/>
                <w:szCs w:val="20"/>
                <w:lang w:eastAsia="en-GB"/>
              </w:rPr>
              <w:t xml:space="preserve"> to support PP strategy</w:t>
            </w:r>
          </w:p>
        </w:tc>
        <w:tc>
          <w:tcPr>
            <w:tcW w:w="760" w:type="dxa"/>
            <w:tcBorders>
              <w:top w:val="nil"/>
              <w:left w:val="nil"/>
              <w:bottom w:val="single" w:sz="8" w:space="0" w:color="B3CC82"/>
              <w:right w:val="single" w:sz="8" w:space="0" w:color="B3CC82"/>
            </w:tcBorders>
            <w:shd w:val="clear" w:color="000000" w:fill="D6E3BC"/>
            <w:vAlign w:val="center"/>
            <w:hideMark/>
          </w:tcPr>
          <w:p w:rsidR="001A244F" w:rsidRPr="001A244F" w:rsidRDefault="001A244F" w:rsidP="001A244F">
            <w:pPr>
              <w:jc w:val="center"/>
              <w:rPr>
                <w:rFonts w:eastAsia="Times New Roman" w:cs="Calibri"/>
                <w:color w:val="000000"/>
                <w:sz w:val="20"/>
                <w:szCs w:val="20"/>
                <w:lang w:eastAsia="en-GB"/>
              </w:rPr>
            </w:pPr>
            <w:r w:rsidRPr="001A244F">
              <w:rPr>
                <w:rFonts w:eastAsia="Times New Roman" w:cs="Calibri"/>
                <w:color w:val="000000"/>
                <w:sz w:val="20"/>
                <w:szCs w:val="20"/>
                <w:lang w:eastAsia="en-GB"/>
              </w:rPr>
              <w:t>PL</w:t>
            </w:r>
          </w:p>
        </w:tc>
        <w:tc>
          <w:tcPr>
            <w:tcW w:w="959" w:type="dxa"/>
            <w:tcBorders>
              <w:top w:val="nil"/>
              <w:left w:val="nil"/>
              <w:bottom w:val="single" w:sz="8" w:space="0" w:color="B3CC82"/>
              <w:right w:val="single" w:sz="8" w:space="0" w:color="B3CC82"/>
            </w:tcBorders>
            <w:shd w:val="clear" w:color="000000" w:fill="D6E3BC"/>
            <w:vAlign w:val="center"/>
            <w:hideMark/>
          </w:tcPr>
          <w:p w:rsidR="001A244F" w:rsidRPr="001A244F" w:rsidRDefault="001A244F" w:rsidP="001A244F">
            <w:pPr>
              <w:jc w:val="center"/>
              <w:rPr>
                <w:rFonts w:eastAsia="Times New Roman" w:cs="Calibri"/>
                <w:color w:val="000000"/>
                <w:sz w:val="16"/>
                <w:szCs w:val="16"/>
                <w:lang w:eastAsia="en-GB"/>
              </w:rPr>
            </w:pPr>
            <w:r w:rsidRPr="001A244F">
              <w:rPr>
                <w:rFonts w:eastAsia="Times New Roman" w:cs="Calibri"/>
                <w:color w:val="000000"/>
                <w:sz w:val="16"/>
                <w:szCs w:val="16"/>
                <w:lang w:eastAsia="en-GB"/>
              </w:rPr>
              <w:t>On going</w:t>
            </w:r>
          </w:p>
        </w:tc>
        <w:tc>
          <w:tcPr>
            <w:tcW w:w="1037" w:type="dxa"/>
            <w:tcBorders>
              <w:top w:val="nil"/>
              <w:left w:val="nil"/>
              <w:bottom w:val="single" w:sz="8" w:space="0" w:color="B3CC82"/>
              <w:right w:val="single" w:sz="8" w:space="0" w:color="B3CC82"/>
            </w:tcBorders>
            <w:shd w:val="clear" w:color="000000" w:fill="D6E3BC"/>
            <w:vAlign w:val="center"/>
            <w:hideMark/>
          </w:tcPr>
          <w:p w:rsidR="001A244F" w:rsidRPr="001A244F" w:rsidRDefault="001A244F" w:rsidP="001A244F">
            <w:pPr>
              <w:jc w:val="right"/>
              <w:rPr>
                <w:rFonts w:eastAsia="Times New Roman" w:cs="Calibri"/>
                <w:color w:val="000000"/>
                <w:sz w:val="20"/>
                <w:szCs w:val="20"/>
                <w:lang w:eastAsia="en-GB"/>
              </w:rPr>
            </w:pPr>
            <w:r w:rsidRPr="001A244F">
              <w:rPr>
                <w:rFonts w:eastAsia="Times New Roman" w:cs="Calibri"/>
                <w:color w:val="000000"/>
                <w:sz w:val="20"/>
                <w:szCs w:val="20"/>
                <w:lang w:eastAsia="en-GB"/>
              </w:rPr>
              <w:t>£50,000</w:t>
            </w:r>
          </w:p>
        </w:tc>
        <w:tc>
          <w:tcPr>
            <w:tcW w:w="5297" w:type="dxa"/>
            <w:tcBorders>
              <w:top w:val="nil"/>
              <w:left w:val="nil"/>
              <w:bottom w:val="single" w:sz="8" w:space="0" w:color="B3CC82"/>
              <w:right w:val="single" w:sz="8" w:space="0" w:color="B3CC82"/>
            </w:tcBorders>
            <w:shd w:val="clear" w:color="000000" w:fill="D6E3BC"/>
            <w:vAlign w:val="center"/>
            <w:hideMark/>
          </w:tcPr>
          <w:p w:rsidR="001A244F" w:rsidRPr="001A244F" w:rsidRDefault="001A244F" w:rsidP="001A244F">
            <w:pPr>
              <w:rPr>
                <w:rFonts w:eastAsia="Times New Roman" w:cs="Calibri"/>
                <w:color w:val="000000"/>
                <w:sz w:val="20"/>
                <w:szCs w:val="20"/>
                <w:lang w:eastAsia="en-GB"/>
              </w:rPr>
            </w:pPr>
            <w:r w:rsidRPr="001A244F">
              <w:rPr>
                <w:rFonts w:eastAsia="Times New Roman" w:cs="Calibri"/>
                <w:color w:val="000000"/>
                <w:sz w:val="20"/>
                <w:szCs w:val="20"/>
                <w:lang w:eastAsia="en-GB"/>
              </w:rPr>
              <w:t>Improved monitoring and accountability, linked to achievement</w:t>
            </w:r>
          </w:p>
        </w:tc>
      </w:tr>
      <w:tr w:rsidR="001A244F" w:rsidRPr="001A244F" w:rsidTr="001A244F">
        <w:trPr>
          <w:trHeight w:val="122"/>
        </w:trPr>
        <w:tc>
          <w:tcPr>
            <w:tcW w:w="6799" w:type="dxa"/>
            <w:tcBorders>
              <w:top w:val="nil"/>
              <w:left w:val="single" w:sz="8" w:space="0" w:color="B3CC82"/>
              <w:bottom w:val="single" w:sz="8" w:space="0" w:color="B3CC82"/>
              <w:right w:val="single" w:sz="8" w:space="0" w:color="B3CC82"/>
            </w:tcBorders>
            <w:shd w:val="clear" w:color="000000" w:fill="C6D9F1"/>
            <w:vAlign w:val="center"/>
            <w:hideMark/>
          </w:tcPr>
          <w:p w:rsidR="001A244F" w:rsidRPr="001A244F" w:rsidRDefault="001A244F" w:rsidP="001A244F">
            <w:pPr>
              <w:rPr>
                <w:rFonts w:eastAsia="Times New Roman" w:cs="Calibri"/>
                <w:b/>
                <w:bCs/>
                <w:color w:val="000000"/>
                <w:sz w:val="20"/>
                <w:szCs w:val="20"/>
                <w:lang w:eastAsia="en-GB"/>
              </w:rPr>
            </w:pPr>
            <w:r w:rsidRPr="001A244F">
              <w:rPr>
                <w:rFonts w:eastAsia="Times New Roman" w:cs="Calibri"/>
                <w:b/>
                <w:bCs/>
                <w:color w:val="000000"/>
                <w:sz w:val="20"/>
                <w:szCs w:val="20"/>
                <w:lang w:eastAsia="en-GB"/>
              </w:rPr>
              <w:lastRenderedPageBreak/>
              <w:t>TOTAL</w:t>
            </w:r>
          </w:p>
        </w:tc>
        <w:tc>
          <w:tcPr>
            <w:tcW w:w="760" w:type="dxa"/>
            <w:tcBorders>
              <w:top w:val="nil"/>
              <w:left w:val="nil"/>
              <w:bottom w:val="single" w:sz="8" w:space="0" w:color="B3CC82"/>
              <w:right w:val="single" w:sz="8" w:space="0" w:color="B3CC82"/>
            </w:tcBorders>
            <w:shd w:val="clear" w:color="000000" w:fill="C6D9F1"/>
            <w:vAlign w:val="center"/>
            <w:hideMark/>
          </w:tcPr>
          <w:p w:rsidR="001A244F" w:rsidRPr="001A244F" w:rsidRDefault="001A244F" w:rsidP="001A244F">
            <w:pPr>
              <w:rPr>
                <w:rFonts w:eastAsia="Times New Roman" w:cs="Calibri"/>
                <w:b/>
                <w:bCs/>
                <w:color w:val="000000"/>
                <w:sz w:val="20"/>
                <w:szCs w:val="20"/>
                <w:lang w:eastAsia="en-GB"/>
              </w:rPr>
            </w:pPr>
            <w:r w:rsidRPr="001A244F">
              <w:rPr>
                <w:rFonts w:eastAsia="Times New Roman" w:cs="Calibri"/>
                <w:b/>
                <w:bCs/>
                <w:color w:val="000000"/>
                <w:sz w:val="20"/>
                <w:szCs w:val="20"/>
                <w:lang w:eastAsia="en-GB"/>
              </w:rPr>
              <w:t> </w:t>
            </w:r>
          </w:p>
        </w:tc>
        <w:tc>
          <w:tcPr>
            <w:tcW w:w="959" w:type="dxa"/>
            <w:tcBorders>
              <w:top w:val="nil"/>
              <w:left w:val="nil"/>
              <w:bottom w:val="single" w:sz="8" w:space="0" w:color="B3CC82"/>
              <w:right w:val="single" w:sz="8" w:space="0" w:color="B3CC82"/>
            </w:tcBorders>
            <w:shd w:val="clear" w:color="000000" w:fill="C6D9F1"/>
            <w:vAlign w:val="center"/>
            <w:hideMark/>
          </w:tcPr>
          <w:p w:rsidR="001A244F" w:rsidRPr="001A244F" w:rsidRDefault="001A244F" w:rsidP="001A244F">
            <w:pPr>
              <w:rPr>
                <w:rFonts w:eastAsia="Times New Roman" w:cs="Calibri"/>
                <w:b/>
                <w:bCs/>
                <w:color w:val="000000"/>
                <w:sz w:val="20"/>
                <w:szCs w:val="20"/>
                <w:lang w:eastAsia="en-GB"/>
              </w:rPr>
            </w:pPr>
            <w:r w:rsidRPr="001A244F">
              <w:rPr>
                <w:rFonts w:eastAsia="Times New Roman" w:cs="Calibri"/>
                <w:b/>
                <w:bCs/>
                <w:color w:val="000000"/>
                <w:sz w:val="20"/>
                <w:szCs w:val="20"/>
                <w:lang w:eastAsia="en-GB"/>
              </w:rPr>
              <w:t> </w:t>
            </w:r>
          </w:p>
        </w:tc>
        <w:tc>
          <w:tcPr>
            <w:tcW w:w="1037" w:type="dxa"/>
            <w:tcBorders>
              <w:top w:val="nil"/>
              <w:left w:val="nil"/>
              <w:bottom w:val="single" w:sz="8" w:space="0" w:color="B3CC82"/>
              <w:right w:val="single" w:sz="8" w:space="0" w:color="B3CC82"/>
            </w:tcBorders>
            <w:shd w:val="clear" w:color="000000" w:fill="C6D9F1"/>
            <w:vAlign w:val="center"/>
            <w:hideMark/>
          </w:tcPr>
          <w:p w:rsidR="001A244F" w:rsidRPr="001A244F" w:rsidRDefault="001A244F" w:rsidP="001A244F">
            <w:pPr>
              <w:jc w:val="right"/>
              <w:rPr>
                <w:rFonts w:eastAsia="Times New Roman" w:cs="Calibri"/>
                <w:b/>
                <w:bCs/>
                <w:color w:val="000000"/>
                <w:sz w:val="20"/>
                <w:szCs w:val="20"/>
                <w:lang w:eastAsia="en-GB"/>
              </w:rPr>
            </w:pPr>
            <w:r w:rsidRPr="001A244F">
              <w:rPr>
                <w:rFonts w:eastAsia="Times New Roman" w:cs="Calibri"/>
                <w:b/>
                <w:bCs/>
                <w:color w:val="000000"/>
                <w:sz w:val="20"/>
                <w:szCs w:val="20"/>
                <w:lang w:eastAsia="en-GB"/>
              </w:rPr>
              <w:t>£286,110</w:t>
            </w:r>
          </w:p>
        </w:tc>
        <w:tc>
          <w:tcPr>
            <w:tcW w:w="5297" w:type="dxa"/>
            <w:tcBorders>
              <w:top w:val="nil"/>
              <w:left w:val="nil"/>
              <w:bottom w:val="single" w:sz="8" w:space="0" w:color="B3CC82"/>
              <w:right w:val="single" w:sz="8" w:space="0" w:color="B3CC82"/>
            </w:tcBorders>
            <w:shd w:val="clear" w:color="000000" w:fill="C6D9F1"/>
            <w:vAlign w:val="center"/>
            <w:hideMark/>
          </w:tcPr>
          <w:p w:rsidR="001A244F" w:rsidRPr="001A244F" w:rsidRDefault="001A244F" w:rsidP="001A244F">
            <w:pPr>
              <w:rPr>
                <w:rFonts w:eastAsia="Times New Roman" w:cs="Calibri"/>
                <w:color w:val="000000"/>
                <w:sz w:val="20"/>
                <w:szCs w:val="20"/>
                <w:lang w:eastAsia="en-GB"/>
              </w:rPr>
            </w:pPr>
            <w:r w:rsidRPr="001A244F">
              <w:rPr>
                <w:rFonts w:eastAsia="Times New Roman" w:cs="Calibri"/>
                <w:color w:val="000000"/>
                <w:sz w:val="20"/>
                <w:szCs w:val="20"/>
                <w:lang w:eastAsia="en-GB"/>
              </w:rPr>
              <w:t> </w:t>
            </w:r>
          </w:p>
        </w:tc>
      </w:tr>
    </w:tbl>
    <w:p w:rsidR="005F0FB5" w:rsidRDefault="005F0FB5">
      <w:pPr>
        <w:rPr>
          <w:sz w:val="20"/>
          <w:szCs w:val="20"/>
        </w:rPr>
      </w:pPr>
    </w:p>
    <w:p w:rsidR="00EF58AC" w:rsidRDefault="00EF58AC" w:rsidP="00102C14">
      <w:pPr>
        <w:pStyle w:val="NoSpacing"/>
        <w:rPr>
          <w:b/>
          <w:u w:val="single"/>
        </w:rPr>
      </w:pPr>
    </w:p>
    <w:p w:rsidR="00EF58AC" w:rsidRDefault="00AC7A00" w:rsidP="00102C14">
      <w:pPr>
        <w:pStyle w:val="NoSpacing"/>
        <w:rPr>
          <w:b/>
          <w:u w:val="single"/>
        </w:rPr>
      </w:pPr>
      <w:r>
        <w:rPr>
          <w:b/>
          <w:u w:val="single"/>
        </w:rPr>
        <w:t>Pupil Premium No’s</w:t>
      </w:r>
    </w:p>
    <w:p w:rsidR="00AC7A00" w:rsidRDefault="00AC7A00" w:rsidP="00102C14">
      <w:pPr>
        <w:pStyle w:val="NoSpacing"/>
        <w:rPr>
          <w:b/>
          <w:u w:val="single"/>
        </w:rPr>
      </w:pPr>
    </w:p>
    <w:p w:rsidR="00AC7A00" w:rsidRDefault="00AC7A00" w:rsidP="00102C14">
      <w:pPr>
        <w:pStyle w:val="NoSpacing"/>
      </w:pPr>
      <w:r w:rsidRPr="00AC7A00">
        <w:t>Year 7</w:t>
      </w:r>
      <w:r>
        <w:t xml:space="preserve"> – 74 </w:t>
      </w:r>
      <w:r w:rsidR="00180177">
        <w:t>/239</w:t>
      </w:r>
      <w:r>
        <w:t xml:space="preserve"> </w:t>
      </w:r>
      <w:r>
        <w:tab/>
        <w:t>(31% of cohort)</w:t>
      </w:r>
    </w:p>
    <w:p w:rsidR="00AC7A00" w:rsidRDefault="00AC7A00" w:rsidP="00102C14">
      <w:pPr>
        <w:pStyle w:val="NoSpacing"/>
      </w:pPr>
      <w:r>
        <w:t xml:space="preserve">Year 8 – 48 /180 </w:t>
      </w:r>
      <w:r>
        <w:tab/>
        <w:t>(2</w:t>
      </w:r>
      <w:r w:rsidR="00180177">
        <w:t>7</w:t>
      </w:r>
      <w:r>
        <w:t>% of cohort)</w:t>
      </w:r>
    </w:p>
    <w:p w:rsidR="00AC7A00" w:rsidRDefault="00AC7A00" w:rsidP="00102C14">
      <w:pPr>
        <w:pStyle w:val="NoSpacing"/>
      </w:pPr>
      <w:r>
        <w:t xml:space="preserve">Year 9 – 63 /180 </w:t>
      </w:r>
      <w:r>
        <w:tab/>
        <w:t>(35% of cohort)</w:t>
      </w:r>
    </w:p>
    <w:p w:rsidR="00AC7A00" w:rsidRDefault="00AC7A00" w:rsidP="00102C14">
      <w:pPr>
        <w:pStyle w:val="NoSpacing"/>
      </w:pPr>
      <w:r>
        <w:t>Year 10 – 60 /</w:t>
      </w:r>
      <w:r w:rsidR="00180177">
        <w:t>175</w:t>
      </w:r>
      <w:r>
        <w:t xml:space="preserve"> </w:t>
      </w:r>
      <w:r>
        <w:tab/>
        <w:t>(</w:t>
      </w:r>
      <w:r w:rsidR="00180177">
        <w:t>34</w:t>
      </w:r>
      <w:r>
        <w:t>% of cohort)</w:t>
      </w:r>
    </w:p>
    <w:p w:rsidR="00AC7A00" w:rsidRPr="00AC7A00" w:rsidRDefault="00AC7A00" w:rsidP="00102C14">
      <w:pPr>
        <w:pStyle w:val="NoSpacing"/>
      </w:pPr>
      <w:r>
        <w:t>Year 11 – 61 /166</w:t>
      </w:r>
      <w:r w:rsidR="00180177">
        <w:tab/>
        <w:t>(37</w:t>
      </w:r>
      <w:r>
        <w:t xml:space="preserve">% of cohort) </w:t>
      </w:r>
    </w:p>
    <w:p w:rsidR="00EF58AC" w:rsidRDefault="00EF58AC" w:rsidP="00102C14">
      <w:pPr>
        <w:pStyle w:val="NoSpacing"/>
        <w:rPr>
          <w:b/>
          <w:u w:val="single"/>
        </w:rPr>
      </w:pPr>
    </w:p>
    <w:p w:rsidR="00AC7A00" w:rsidRPr="00644DA0" w:rsidRDefault="00AC7A00" w:rsidP="00102C14">
      <w:pPr>
        <w:pStyle w:val="NoSpacing"/>
        <w:rPr>
          <w:b/>
        </w:rPr>
      </w:pPr>
      <w:r w:rsidRPr="00AC7A00">
        <w:rPr>
          <w:b/>
        </w:rPr>
        <w:t xml:space="preserve">Total = </w:t>
      </w:r>
      <w:r>
        <w:rPr>
          <w:b/>
        </w:rPr>
        <w:t>306 pupils</w:t>
      </w:r>
      <w:r w:rsidR="00180177">
        <w:rPr>
          <w:b/>
        </w:rPr>
        <w:t xml:space="preserve"> / 940 (33%) </w:t>
      </w:r>
    </w:p>
    <w:p w:rsidR="00644DA0" w:rsidRDefault="00644DA0" w:rsidP="00102C14">
      <w:pPr>
        <w:pStyle w:val="NoSpacing"/>
        <w:rPr>
          <w:b/>
          <w:u w:val="single"/>
        </w:rPr>
      </w:pPr>
    </w:p>
    <w:p w:rsidR="00102C14" w:rsidRDefault="00AC7A00" w:rsidP="00102C14">
      <w:pPr>
        <w:pStyle w:val="NoSpacing"/>
        <w:rPr>
          <w:b/>
          <w:u w:val="single"/>
        </w:rPr>
      </w:pPr>
      <w:r>
        <w:rPr>
          <w:b/>
          <w:u w:val="single"/>
        </w:rPr>
        <w:t>Impact of 2017-2018</w:t>
      </w:r>
      <w:r w:rsidR="00102C14">
        <w:rPr>
          <w:b/>
          <w:u w:val="single"/>
        </w:rPr>
        <w:t xml:space="preserve"> spend:</w:t>
      </w:r>
    </w:p>
    <w:p w:rsidR="00102C14" w:rsidRPr="00AE55C9" w:rsidRDefault="00102C14" w:rsidP="00102C14">
      <w:pPr>
        <w:pStyle w:val="NoSpacing"/>
        <w:rPr>
          <w:b/>
          <w:sz w:val="10"/>
          <w:u w:val="single"/>
        </w:rPr>
      </w:pPr>
    </w:p>
    <w:p w:rsidR="00102C14" w:rsidRPr="001425A9" w:rsidRDefault="00102C14" w:rsidP="00102C14">
      <w:pPr>
        <w:pStyle w:val="NoSpacing"/>
        <w:numPr>
          <w:ilvl w:val="0"/>
          <w:numId w:val="2"/>
        </w:numPr>
        <w:ind w:left="284" w:hanging="284"/>
        <w:rPr>
          <w:b/>
          <w:u w:val="single"/>
        </w:rPr>
      </w:pPr>
      <w:r w:rsidRPr="001425A9">
        <w:rPr>
          <w:b/>
          <w:u w:val="single"/>
        </w:rPr>
        <w:t>Humanities Week</w:t>
      </w:r>
      <w:r w:rsidRPr="001425A9">
        <w:rPr>
          <w:b/>
        </w:rPr>
        <w:t xml:space="preserve">: </w:t>
      </w:r>
    </w:p>
    <w:p w:rsidR="00102C14" w:rsidRDefault="00102C14" w:rsidP="00102C14">
      <w:pPr>
        <w:pStyle w:val="NoSpacing"/>
        <w:ind w:left="284" w:hanging="284"/>
      </w:pPr>
      <w:r w:rsidRPr="001425A9">
        <w:tab/>
        <w:t>All Pupil Premium pupils received part funding for their chosen trip in our annual Humanities Week.  This also extended to some pupils who are not PP but could not afford trips for a number of reasons.  Humanities Week provides valuable life experiences for all of these pupils who would otherwise not be able to access such opportunities.</w:t>
      </w:r>
    </w:p>
    <w:p w:rsidR="001425A9" w:rsidRDefault="001425A9" w:rsidP="00102C14">
      <w:pPr>
        <w:pStyle w:val="NoSpacing"/>
        <w:ind w:left="284" w:hanging="284"/>
      </w:pPr>
    </w:p>
    <w:p w:rsidR="001425A9" w:rsidRDefault="001425A9" w:rsidP="00377D5D">
      <w:pPr>
        <w:pStyle w:val="NoSpacing"/>
        <w:ind w:left="284"/>
      </w:pPr>
      <w:r w:rsidRPr="00006B44">
        <w:rPr>
          <w:b/>
          <w:u w:val="single"/>
        </w:rPr>
        <w:t>Work Experience provision for Pre 16</w:t>
      </w:r>
      <w:r>
        <w:t xml:space="preserve"> </w:t>
      </w:r>
    </w:p>
    <w:p w:rsidR="00006B44" w:rsidRPr="00217099" w:rsidRDefault="00006B44" w:rsidP="00217099">
      <w:pPr>
        <w:pStyle w:val="NoSpacing"/>
        <w:ind w:left="284"/>
      </w:pPr>
      <w:r w:rsidRPr="00217099">
        <w:t xml:space="preserve">All students in Year 10 are exposed to the real world of work in </w:t>
      </w:r>
      <w:r w:rsidR="00217099" w:rsidRPr="00217099">
        <w:t xml:space="preserve">a </w:t>
      </w:r>
      <w:r w:rsidRPr="00217099">
        <w:t xml:space="preserve">2 week work experience programme. </w:t>
      </w:r>
      <w:r w:rsidR="00217099" w:rsidRPr="00217099">
        <w:t xml:space="preserve">This programme is fully funded for all PP pupils </w:t>
      </w:r>
      <w:r w:rsidR="00217099" w:rsidRPr="00217099">
        <w:rPr>
          <w:rFonts w:cs="Calibri"/>
        </w:rPr>
        <w:t xml:space="preserve">is considered to be an integral part of their careers education </w:t>
      </w:r>
      <w:r w:rsidR="00217099">
        <w:rPr>
          <w:rFonts w:cs="Calibri"/>
        </w:rPr>
        <w:t>to</w:t>
      </w:r>
      <w:r w:rsidR="00217099" w:rsidRPr="00217099">
        <w:rPr>
          <w:rFonts w:cs="Calibri"/>
        </w:rPr>
        <w:t xml:space="preserve"> assist them in making the transition from school to the work place</w:t>
      </w:r>
      <w:r w:rsidR="00217099">
        <w:rPr>
          <w:rFonts w:cs="Calibri"/>
        </w:rPr>
        <w:t xml:space="preserve"> in their future</w:t>
      </w:r>
      <w:r w:rsidR="00217099" w:rsidRPr="00217099">
        <w:rPr>
          <w:rFonts w:cs="Calibri"/>
        </w:rPr>
        <w:t>.</w:t>
      </w:r>
    </w:p>
    <w:p w:rsidR="00102C14" w:rsidRPr="00217099" w:rsidRDefault="00102C14" w:rsidP="00102C14">
      <w:pPr>
        <w:pStyle w:val="NoSpacing"/>
        <w:rPr>
          <w:color w:val="FF0000"/>
        </w:rPr>
      </w:pPr>
    </w:p>
    <w:p w:rsidR="00102C14" w:rsidRPr="00AA565B" w:rsidRDefault="00102C14" w:rsidP="00102C14">
      <w:pPr>
        <w:pStyle w:val="NoSpacing"/>
        <w:ind w:left="284" w:hanging="284"/>
        <w:rPr>
          <w:color w:val="000000" w:themeColor="text1"/>
        </w:rPr>
      </w:pPr>
      <w:r w:rsidRPr="00644DA0">
        <w:rPr>
          <w:b/>
        </w:rPr>
        <w:t xml:space="preserve">2) </w:t>
      </w:r>
      <w:r w:rsidRPr="00AA565B">
        <w:rPr>
          <w:b/>
          <w:color w:val="000000" w:themeColor="text1"/>
          <w:u w:val="single"/>
        </w:rPr>
        <w:t>Intervention</w:t>
      </w:r>
      <w:r w:rsidRPr="00AA565B">
        <w:rPr>
          <w:b/>
          <w:color w:val="000000" w:themeColor="text1"/>
        </w:rPr>
        <w:t>:</w:t>
      </w:r>
    </w:p>
    <w:p w:rsidR="00CF2DE4" w:rsidRPr="00AA565B" w:rsidRDefault="00CF2DE4" w:rsidP="00F20C3A">
      <w:pPr>
        <w:pStyle w:val="NoSpacing"/>
        <w:ind w:firstLine="284"/>
        <w:rPr>
          <w:b/>
          <w:color w:val="000000" w:themeColor="text1"/>
        </w:rPr>
      </w:pPr>
      <w:r w:rsidRPr="00AA565B">
        <w:rPr>
          <w:b/>
          <w:color w:val="000000" w:themeColor="text1"/>
        </w:rPr>
        <w:t>Key Headline info from Impact report</w:t>
      </w:r>
      <w:r w:rsidR="00F56D6C" w:rsidRPr="00AA565B">
        <w:rPr>
          <w:b/>
          <w:color w:val="000000" w:themeColor="text1"/>
        </w:rPr>
        <w:t>s</w:t>
      </w:r>
      <w:r w:rsidRPr="00AA565B">
        <w:rPr>
          <w:b/>
          <w:color w:val="000000" w:themeColor="text1"/>
        </w:rPr>
        <w:t xml:space="preserve">: </w:t>
      </w:r>
    </w:p>
    <w:p w:rsidR="00AA565B" w:rsidRDefault="00AA565B" w:rsidP="00AA565B">
      <w:pPr>
        <w:ind w:left="284"/>
      </w:pPr>
      <w:r w:rsidRPr="00710FDE">
        <w:t>Yr 7</w:t>
      </w:r>
      <w:r>
        <w:t xml:space="preserve"> SEND</w:t>
      </w:r>
      <w:r w:rsidRPr="00710FDE">
        <w:t xml:space="preserve"> literacy group was intervention carried out with a small group</w:t>
      </w:r>
      <w:r>
        <w:t xml:space="preserve"> of students (four) one of who</w:t>
      </w:r>
      <w:r w:rsidRPr="00710FDE">
        <w:t xml:space="preserve"> was pupil premium and 100% of students made progress in two or more areas of literacy.</w:t>
      </w:r>
    </w:p>
    <w:p w:rsidR="00AA565B" w:rsidRDefault="00AA565B" w:rsidP="00AA565B">
      <w:pPr>
        <w:ind w:left="284"/>
      </w:pPr>
    </w:p>
    <w:p w:rsidR="00AA565B" w:rsidRPr="00710FDE" w:rsidRDefault="00AA565B" w:rsidP="00AA565B">
      <w:pPr>
        <w:ind w:left="284"/>
      </w:pPr>
      <w:r>
        <w:t>Yr 7 SEND numeracy group was intervention carried out with six students, three of whom were pupil premium. In this group 100% of students made exceptional progress in the level 1 and 2 tasks, with progress still positive, but not as dramatic for the level 3 and 4 tasks.</w:t>
      </w:r>
    </w:p>
    <w:p w:rsidR="00450FFE" w:rsidRPr="00621936" w:rsidRDefault="00450FFE" w:rsidP="00450FFE">
      <w:pPr>
        <w:pStyle w:val="NoSpacing"/>
        <w:ind w:firstLine="284"/>
        <w:rPr>
          <w:color w:val="FF0000"/>
        </w:rPr>
      </w:pPr>
    </w:p>
    <w:p w:rsidR="00C4094E" w:rsidRPr="00621936" w:rsidRDefault="00C4094E" w:rsidP="00B87A49">
      <w:pPr>
        <w:pStyle w:val="NoSpacing"/>
        <w:shd w:val="clear" w:color="auto" w:fill="FFFFFF" w:themeFill="background1"/>
        <w:rPr>
          <w:color w:val="FF0000"/>
        </w:rPr>
      </w:pPr>
    </w:p>
    <w:p w:rsidR="00C4094E" w:rsidRPr="00CE02E1" w:rsidRDefault="00C05C85" w:rsidP="00C4094E">
      <w:pPr>
        <w:pStyle w:val="NoSpacing"/>
        <w:shd w:val="clear" w:color="auto" w:fill="FFFFFF" w:themeFill="background1"/>
        <w:ind w:left="284"/>
        <w:rPr>
          <w:u w:val="single"/>
        </w:rPr>
      </w:pPr>
      <w:r w:rsidRPr="00CE02E1">
        <w:rPr>
          <w:u w:val="single"/>
        </w:rPr>
        <w:t xml:space="preserve">Year 7 Paired Reading Programme </w:t>
      </w:r>
    </w:p>
    <w:p w:rsidR="00803DDC" w:rsidRPr="00621936" w:rsidRDefault="00803DDC" w:rsidP="00F56D6C">
      <w:pPr>
        <w:pStyle w:val="NoSpacing"/>
        <w:shd w:val="clear" w:color="auto" w:fill="FFFFFF" w:themeFill="background1"/>
        <w:ind w:left="284"/>
        <w:rPr>
          <w:color w:val="FF0000"/>
        </w:rPr>
      </w:pPr>
      <w:r w:rsidRPr="00D91F7E">
        <w:t>Interventi</w:t>
      </w:r>
      <w:r w:rsidR="00B87A49" w:rsidRPr="00D91F7E">
        <w:t>on took plac</w:t>
      </w:r>
      <w:r w:rsidR="00D91F7E" w:rsidRPr="00D91F7E">
        <w:t>e with a group of 15 students (4</w:t>
      </w:r>
      <w:r w:rsidRPr="00D91F7E">
        <w:t xml:space="preserve"> PP).</w:t>
      </w:r>
      <w:r w:rsidRPr="00621936">
        <w:rPr>
          <w:color w:val="FF0000"/>
        </w:rPr>
        <w:t xml:space="preserve"> </w:t>
      </w:r>
      <w:r w:rsidR="00377D5D" w:rsidRPr="00377D5D">
        <w:t xml:space="preserve">All 4 of the PP students </w:t>
      </w:r>
      <w:r w:rsidRPr="003474EE">
        <w:t xml:space="preserve">made positive gains in their reading age </w:t>
      </w:r>
      <w:r w:rsidR="00D91F7E" w:rsidRPr="003474EE">
        <w:t xml:space="preserve">throughout the year. Reading ages improved </w:t>
      </w:r>
      <w:r w:rsidR="00377D5D">
        <w:t>between 8</w:t>
      </w:r>
      <w:r w:rsidR="003474EE" w:rsidRPr="003474EE">
        <w:t xml:space="preserve"> months and </w:t>
      </w:r>
      <w:r w:rsidR="00377D5D">
        <w:t>5</w:t>
      </w:r>
      <w:r w:rsidRPr="003474EE">
        <w:t xml:space="preserve"> years.</w:t>
      </w:r>
      <w:r w:rsidR="00B87A49" w:rsidRPr="003474EE">
        <w:t xml:space="preserve"> </w:t>
      </w:r>
    </w:p>
    <w:p w:rsidR="00AA565B" w:rsidRDefault="00AA565B" w:rsidP="00644DA0">
      <w:pPr>
        <w:pStyle w:val="NoSpacing"/>
        <w:shd w:val="clear" w:color="auto" w:fill="FFFFFF" w:themeFill="background1"/>
        <w:rPr>
          <w:color w:val="FF0000"/>
        </w:rPr>
      </w:pPr>
    </w:p>
    <w:p w:rsidR="00803DDC" w:rsidRPr="00CE02E1" w:rsidRDefault="00797043" w:rsidP="00F56D6C">
      <w:pPr>
        <w:pStyle w:val="NoSpacing"/>
        <w:shd w:val="clear" w:color="auto" w:fill="FFFFFF" w:themeFill="background1"/>
        <w:ind w:left="284"/>
        <w:rPr>
          <w:u w:val="single"/>
        </w:rPr>
      </w:pPr>
      <w:r w:rsidRPr="00CE02E1">
        <w:rPr>
          <w:u w:val="single"/>
        </w:rPr>
        <w:t>Year 8 Paired Reading Programme</w:t>
      </w:r>
    </w:p>
    <w:p w:rsidR="00433326" w:rsidRPr="00433326" w:rsidRDefault="00797043" w:rsidP="00433326">
      <w:pPr>
        <w:pStyle w:val="NoSpacing"/>
        <w:shd w:val="clear" w:color="auto" w:fill="FFFFFF" w:themeFill="background1"/>
        <w:ind w:left="284"/>
        <w:rPr>
          <w:sz w:val="22"/>
          <w:szCs w:val="22"/>
        </w:rPr>
      </w:pPr>
      <w:r w:rsidRPr="00433326">
        <w:t xml:space="preserve">Intervention took place with a group of </w:t>
      </w:r>
      <w:r w:rsidR="00CE02E1" w:rsidRPr="00433326">
        <w:t>17 students (6</w:t>
      </w:r>
      <w:r w:rsidRPr="00433326">
        <w:t xml:space="preserve"> PP). </w:t>
      </w:r>
      <w:r w:rsidR="00433326" w:rsidRPr="00433326">
        <w:t>All 6</w:t>
      </w:r>
      <w:r w:rsidR="00B87A49" w:rsidRPr="00433326">
        <w:t xml:space="preserve"> students improved their reading age</w:t>
      </w:r>
      <w:r w:rsidR="00433326" w:rsidRPr="00433326">
        <w:t xml:space="preserve">. One student improved their reading age by 8 months, all other 5 students improved their reading ages between 2 and 5 years over the course of the year. </w:t>
      </w:r>
    </w:p>
    <w:p w:rsidR="00433326" w:rsidRPr="006F6FA9" w:rsidRDefault="00433326" w:rsidP="00433326">
      <w:pPr>
        <w:pStyle w:val="NoSpacing"/>
        <w:shd w:val="clear" w:color="auto" w:fill="FFFFFF" w:themeFill="background1"/>
        <w:ind w:left="284"/>
        <w:rPr>
          <w:color w:val="FF0000"/>
          <w:sz w:val="22"/>
          <w:szCs w:val="22"/>
          <w:u w:val="single"/>
        </w:rPr>
      </w:pPr>
    </w:p>
    <w:p w:rsidR="00433326" w:rsidRPr="006F6FA9" w:rsidRDefault="00433326" w:rsidP="00433326">
      <w:pPr>
        <w:pStyle w:val="NoSpacing"/>
        <w:shd w:val="clear" w:color="auto" w:fill="FFFFFF" w:themeFill="background1"/>
        <w:ind w:left="284"/>
        <w:rPr>
          <w:u w:val="single"/>
        </w:rPr>
      </w:pPr>
      <w:r w:rsidRPr="006F6FA9">
        <w:rPr>
          <w:u w:val="single"/>
        </w:rPr>
        <w:t>Year 8 Accelerated Reading Programme</w:t>
      </w:r>
    </w:p>
    <w:p w:rsidR="00B87A49" w:rsidRPr="006F6FA9" w:rsidRDefault="00433326" w:rsidP="00433326">
      <w:pPr>
        <w:pStyle w:val="NoSpacing"/>
        <w:shd w:val="clear" w:color="auto" w:fill="FFFFFF" w:themeFill="background1"/>
        <w:ind w:left="284"/>
        <w:rPr>
          <w:sz w:val="22"/>
          <w:szCs w:val="22"/>
        </w:rPr>
      </w:pPr>
      <w:r w:rsidRPr="006F6FA9">
        <w:rPr>
          <w:sz w:val="22"/>
          <w:szCs w:val="22"/>
        </w:rPr>
        <w:t>I</w:t>
      </w:r>
      <w:r w:rsidR="006F6FA9" w:rsidRPr="006F6FA9">
        <w:rPr>
          <w:sz w:val="22"/>
          <w:szCs w:val="22"/>
        </w:rPr>
        <w:t>ntervention took place with 19</w:t>
      </w:r>
      <w:r w:rsidRPr="006F6FA9">
        <w:rPr>
          <w:sz w:val="22"/>
          <w:szCs w:val="22"/>
        </w:rPr>
        <w:t xml:space="preserve"> girls (4 PP). </w:t>
      </w:r>
      <w:r w:rsidR="006F6FA9" w:rsidRPr="006F6FA9">
        <w:rPr>
          <w:sz w:val="22"/>
          <w:szCs w:val="22"/>
        </w:rPr>
        <w:t>25</w:t>
      </w:r>
      <w:r w:rsidRPr="006F6FA9">
        <w:rPr>
          <w:sz w:val="22"/>
          <w:szCs w:val="22"/>
        </w:rPr>
        <w:t xml:space="preserve">% of </w:t>
      </w:r>
      <w:r w:rsidR="006F6FA9" w:rsidRPr="006F6FA9">
        <w:rPr>
          <w:sz w:val="22"/>
          <w:szCs w:val="22"/>
        </w:rPr>
        <w:t xml:space="preserve">the PP </w:t>
      </w:r>
      <w:r w:rsidRPr="006F6FA9">
        <w:rPr>
          <w:sz w:val="22"/>
          <w:szCs w:val="22"/>
        </w:rPr>
        <w:t>pupils improved their reading age</w:t>
      </w:r>
      <w:r w:rsidR="006F6FA9" w:rsidRPr="006F6FA9">
        <w:rPr>
          <w:sz w:val="22"/>
          <w:szCs w:val="22"/>
        </w:rPr>
        <w:t xml:space="preserve">. </w:t>
      </w:r>
    </w:p>
    <w:p w:rsidR="00B87A49" w:rsidRPr="00621936" w:rsidRDefault="00B87A49" w:rsidP="00F56D6C">
      <w:pPr>
        <w:pStyle w:val="NoSpacing"/>
        <w:shd w:val="clear" w:color="auto" w:fill="FFFFFF" w:themeFill="background1"/>
        <w:ind w:left="284"/>
        <w:rPr>
          <w:color w:val="FF0000"/>
        </w:rPr>
      </w:pPr>
    </w:p>
    <w:p w:rsidR="00797043" w:rsidRPr="00433326" w:rsidRDefault="00450FFE" w:rsidP="00F56D6C">
      <w:pPr>
        <w:pStyle w:val="NoSpacing"/>
        <w:shd w:val="clear" w:color="auto" w:fill="FFFFFF" w:themeFill="background1"/>
        <w:ind w:left="284"/>
        <w:rPr>
          <w:u w:val="single"/>
        </w:rPr>
      </w:pPr>
      <w:r w:rsidRPr="00433326">
        <w:rPr>
          <w:u w:val="single"/>
        </w:rPr>
        <w:t>Year 7 Accelerated Reading Programme</w:t>
      </w:r>
    </w:p>
    <w:p w:rsidR="00803DDC" w:rsidRPr="00433326" w:rsidRDefault="00450FFE" w:rsidP="00433326">
      <w:pPr>
        <w:pStyle w:val="NoSpacing"/>
        <w:shd w:val="clear" w:color="auto" w:fill="FFFFFF" w:themeFill="background1"/>
        <w:ind w:left="284"/>
      </w:pPr>
      <w:r w:rsidRPr="00433326">
        <w:rPr>
          <w:sz w:val="22"/>
          <w:szCs w:val="22"/>
        </w:rPr>
        <w:t>In</w:t>
      </w:r>
      <w:r w:rsidR="00B87A49" w:rsidRPr="00433326">
        <w:rPr>
          <w:sz w:val="22"/>
          <w:szCs w:val="22"/>
        </w:rPr>
        <w:t xml:space="preserve">tervention took place with </w:t>
      </w:r>
      <w:r w:rsidR="00433326" w:rsidRPr="00433326">
        <w:rPr>
          <w:sz w:val="22"/>
          <w:szCs w:val="22"/>
        </w:rPr>
        <w:t>20 students (8</w:t>
      </w:r>
      <w:r w:rsidRPr="00433326">
        <w:rPr>
          <w:sz w:val="22"/>
          <w:szCs w:val="22"/>
        </w:rPr>
        <w:t xml:space="preserve"> PP). </w:t>
      </w:r>
      <w:r w:rsidR="00433326" w:rsidRPr="00433326">
        <w:rPr>
          <w:sz w:val="22"/>
          <w:szCs w:val="22"/>
        </w:rPr>
        <w:t>75</w:t>
      </w:r>
      <w:r w:rsidR="00B87A49" w:rsidRPr="00433326">
        <w:rPr>
          <w:sz w:val="22"/>
          <w:szCs w:val="22"/>
        </w:rPr>
        <w:t xml:space="preserve">% of </w:t>
      </w:r>
      <w:r w:rsidR="00433326" w:rsidRPr="00433326">
        <w:rPr>
          <w:sz w:val="22"/>
          <w:szCs w:val="22"/>
        </w:rPr>
        <w:t xml:space="preserve">the PP </w:t>
      </w:r>
      <w:r w:rsidR="00B87A49" w:rsidRPr="00433326">
        <w:rPr>
          <w:sz w:val="22"/>
          <w:szCs w:val="22"/>
        </w:rPr>
        <w:t>p</w:t>
      </w:r>
      <w:r w:rsidRPr="00433326">
        <w:rPr>
          <w:sz w:val="22"/>
          <w:szCs w:val="22"/>
        </w:rPr>
        <w:t xml:space="preserve">upils improved on </w:t>
      </w:r>
      <w:r w:rsidR="00433326" w:rsidRPr="00433326">
        <w:rPr>
          <w:sz w:val="22"/>
          <w:szCs w:val="22"/>
        </w:rPr>
        <w:t xml:space="preserve">their reading ages. </w:t>
      </w:r>
    </w:p>
    <w:p w:rsidR="00450FFE" w:rsidRPr="00433326" w:rsidRDefault="00450FFE" w:rsidP="00F56D6C">
      <w:pPr>
        <w:pStyle w:val="NoSpacing"/>
        <w:shd w:val="clear" w:color="auto" w:fill="FFFFFF" w:themeFill="background1"/>
        <w:ind w:left="284"/>
      </w:pPr>
    </w:p>
    <w:p w:rsidR="00102C14" w:rsidRPr="00573AA8" w:rsidRDefault="00102C14" w:rsidP="00573AA8">
      <w:pPr>
        <w:pStyle w:val="NormalWeb"/>
        <w:spacing w:before="0" w:beforeAutospacing="0" w:after="0" w:afterAutospacing="0"/>
        <w:rPr>
          <w:rFonts w:asciiTheme="minorHAnsi" w:hAnsi="Calibri" w:cstheme="minorBidi"/>
          <w:b/>
          <w:color w:val="FF0000"/>
          <w:sz w:val="22"/>
          <w:szCs w:val="22"/>
        </w:rPr>
      </w:pPr>
    </w:p>
    <w:p w:rsidR="00102C14" w:rsidRPr="006F6FA9" w:rsidRDefault="00102C14" w:rsidP="00AA565B">
      <w:pPr>
        <w:pStyle w:val="NoSpacing"/>
        <w:ind w:left="284"/>
      </w:pPr>
      <w:r w:rsidRPr="006F6FA9">
        <w:t>Numerous interventions have been funded as can be seen listed, including KS3 support groups for Literacy and Numeracy and a whole host of attendance initiatives.</w:t>
      </w:r>
    </w:p>
    <w:p w:rsidR="00102C14" w:rsidRPr="006F6FA9" w:rsidRDefault="00102C14" w:rsidP="00102C14">
      <w:pPr>
        <w:pStyle w:val="NoSpacing"/>
        <w:ind w:left="284"/>
        <w:rPr>
          <w:sz w:val="10"/>
        </w:rPr>
      </w:pPr>
    </w:p>
    <w:p w:rsidR="00102C14" w:rsidRPr="006F6FA9" w:rsidRDefault="00102C14" w:rsidP="00102C14">
      <w:pPr>
        <w:pStyle w:val="NoSpacing"/>
        <w:ind w:left="284"/>
      </w:pPr>
      <w:r w:rsidRPr="006F6FA9">
        <w:t>Our biggest intervention spends were in Year 11.  A range of subject interventions were funded in Year 11 to support them towards GCSE achievement.  The success of this targeted intervention can be seen directly via headlines</w:t>
      </w:r>
      <w:r w:rsidR="004E7ACD">
        <w:t xml:space="preserve"> for the summer GCSE cohort 2018</w:t>
      </w:r>
      <w:r w:rsidRPr="006F6FA9">
        <w:t>.</w:t>
      </w:r>
    </w:p>
    <w:p w:rsidR="00102C14" w:rsidRPr="006F6FA9" w:rsidRDefault="00102C14" w:rsidP="00102C14">
      <w:pPr>
        <w:pStyle w:val="NoSpacing"/>
        <w:tabs>
          <w:tab w:val="left" w:pos="284"/>
        </w:tabs>
        <w:ind w:left="284" w:hanging="284"/>
        <w:rPr>
          <w:b/>
          <w:sz w:val="12"/>
        </w:rPr>
      </w:pPr>
    </w:p>
    <w:p w:rsidR="00102C14" w:rsidRPr="006F6FA9" w:rsidRDefault="00102C14" w:rsidP="00102C14">
      <w:pPr>
        <w:pStyle w:val="NoSpacing"/>
        <w:tabs>
          <w:tab w:val="left" w:pos="284"/>
        </w:tabs>
        <w:ind w:left="284" w:hanging="284"/>
      </w:pPr>
      <w:r w:rsidRPr="006F6FA9">
        <w:tab/>
        <w:t>In line with DfE requirements (May 2015) school accountability for Pupil Premium spend is through:</w:t>
      </w:r>
    </w:p>
    <w:p w:rsidR="00102C14" w:rsidRPr="006F6FA9" w:rsidRDefault="00102C14" w:rsidP="00102C14">
      <w:pPr>
        <w:pStyle w:val="NoSpacing"/>
        <w:numPr>
          <w:ilvl w:val="0"/>
          <w:numId w:val="3"/>
        </w:numPr>
        <w:tabs>
          <w:tab w:val="left" w:pos="284"/>
        </w:tabs>
        <w:rPr>
          <w:sz w:val="22"/>
        </w:rPr>
      </w:pPr>
      <w:r w:rsidRPr="006F6FA9">
        <w:rPr>
          <w:sz w:val="22"/>
        </w:rPr>
        <w:t>Attainment of PP pupils</w:t>
      </w:r>
    </w:p>
    <w:p w:rsidR="00102C14" w:rsidRPr="006F6FA9" w:rsidRDefault="00102C14" w:rsidP="00102C14">
      <w:pPr>
        <w:pStyle w:val="NoSpacing"/>
        <w:numPr>
          <w:ilvl w:val="0"/>
          <w:numId w:val="3"/>
        </w:numPr>
        <w:tabs>
          <w:tab w:val="left" w:pos="284"/>
        </w:tabs>
        <w:rPr>
          <w:sz w:val="22"/>
        </w:rPr>
      </w:pPr>
      <w:r w:rsidRPr="006F6FA9">
        <w:rPr>
          <w:sz w:val="22"/>
        </w:rPr>
        <w:t>Progress of PP pupils</w:t>
      </w:r>
    </w:p>
    <w:p w:rsidR="00102C14" w:rsidRPr="006F6FA9" w:rsidRDefault="00102C14" w:rsidP="00102C14">
      <w:pPr>
        <w:pStyle w:val="NoSpacing"/>
        <w:numPr>
          <w:ilvl w:val="0"/>
          <w:numId w:val="3"/>
        </w:numPr>
        <w:tabs>
          <w:tab w:val="left" w:pos="284"/>
        </w:tabs>
        <w:rPr>
          <w:sz w:val="22"/>
        </w:rPr>
      </w:pPr>
      <w:r w:rsidRPr="006F6FA9">
        <w:rPr>
          <w:sz w:val="22"/>
        </w:rPr>
        <w:t>The size in the attainment gap between PP pupils and others</w:t>
      </w:r>
    </w:p>
    <w:p w:rsidR="00102C14" w:rsidRPr="003E1BD3" w:rsidRDefault="00102C14" w:rsidP="00102C14">
      <w:pPr>
        <w:pStyle w:val="NoSpacing"/>
        <w:rPr>
          <w:b/>
          <w:color w:val="000000" w:themeColor="text1"/>
        </w:rPr>
      </w:pPr>
    </w:p>
    <w:p w:rsidR="00102C14" w:rsidRPr="003E1BD3" w:rsidRDefault="00102C14" w:rsidP="00102C14">
      <w:pPr>
        <w:pStyle w:val="NoSpacing"/>
        <w:numPr>
          <w:ilvl w:val="0"/>
          <w:numId w:val="1"/>
        </w:numPr>
        <w:ind w:left="284" w:hanging="284"/>
        <w:rPr>
          <w:b/>
          <w:color w:val="000000" w:themeColor="text1"/>
          <w:u w:val="single"/>
        </w:rPr>
      </w:pPr>
      <w:r w:rsidRPr="003E1BD3">
        <w:rPr>
          <w:b/>
          <w:color w:val="000000" w:themeColor="text1"/>
          <w:u w:val="single"/>
        </w:rPr>
        <w:t>Attainment</w:t>
      </w:r>
      <w:r w:rsidR="00E465C3" w:rsidRPr="003E1BD3">
        <w:rPr>
          <w:b/>
          <w:color w:val="000000" w:themeColor="text1"/>
          <w:u w:val="single"/>
        </w:rPr>
        <w:t xml:space="preserve"> &amp; Progress</w:t>
      </w:r>
      <w:r w:rsidRPr="003E1BD3">
        <w:rPr>
          <w:b/>
          <w:color w:val="000000" w:themeColor="text1"/>
          <w:u w:val="single"/>
        </w:rPr>
        <w:t>:</w:t>
      </w:r>
    </w:p>
    <w:p w:rsidR="00102C14" w:rsidRPr="003E1BD3" w:rsidRDefault="00102C14" w:rsidP="00102C14">
      <w:pPr>
        <w:ind w:left="284"/>
        <w:rPr>
          <w:color w:val="000000" w:themeColor="text1"/>
        </w:rPr>
      </w:pPr>
      <w:r w:rsidRPr="003E1BD3">
        <w:rPr>
          <w:color w:val="000000" w:themeColor="text1"/>
          <w:u w:val="single"/>
        </w:rPr>
        <w:t>GCSE thresholds</w:t>
      </w:r>
      <w:r w:rsidRPr="003E1BD3">
        <w:rPr>
          <w:color w:val="000000" w:themeColor="text1"/>
        </w:rPr>
        <w:t>:</w:t>
      </w:r>
    </w:p>
    <w:p w:rsidR="00102C14" w:rsidRPr="003E1BD3" w:rsidRDefault="004E7ACD" w:rsidP="00102C14">
      <w:pPr>
        <w:ind w:left="284"/>
        <w:rPr>
          <w:color w:val="000000" w:themeColor="text1"/>
        </w:rPr>
      </w:pPr>
      <w:r w:rsidRPr="003E1BD3">
        <w:rPr>
          <w:color w:val="000000" w:themeColor="text1"/>
        </w:rPr>
        <w:t xml:space="preserve">Year 11 cohort: </w:t>
      </w:r>
      <w:r w:rsidRPr="003E1BD3">
        <w:rPr>
          <w:color w:val="000000" w:themeColor="text1"/>
        </w:rPr>
        <w:tab/>
        <w:t>78</w:t>
      </w:r>
      <w:r w:rsidR="00102C14" w:rsidRPr="003E1BD3">
        <w:rPr>
          <w:color w:val="000000" w:themeColor="text1"/>
        </w:rPr>
        <w:t xml:space="preserve">% </w:t>
      </w:r>
      <w:r w:rsidR="004F6F5C" w:rsidRPr="003E1BD3">
        <w:rPr>
          <w:color w:val="000000" w:themeColor="text1"/>
        </w:rPr>
        <w:t>9-4 EM match</w:t>
      </w:r>
    </w:p>
    <w:p w:rsidR="00102C14" w:rsidRPr="003E1BD3" w:rsidRDefault="004F6F5C" w:rsidP="00102C14">
      <w:pPr>
        <w:ind w:left="2159" w:hanging="1875"/>
        <w:rPr>
          <w:color w:val="000000" w:themeColor="text1"/>
        </w:rPr>
      </w:pPr>
      <w:r w:rsidRPr="003E1BD3">
        <w:rPr>
          <w:color w:val="000000" w:themeColor="text1"/>
        </w:rPr>
        <w:t>Disadvantaged</w:t>
      </w:r>
      <w:r w:rsidR="00102C14" w:rsidRPr="003E1BD3">
        <w:rPr>
          <w:color w:val="000000" w:themeColor="text1"/>
        </w:rPr>
        <w:t>:</w:t>
      </w:r>
      <w:r w:rsidR="00102C14" w:rsidRPr="003E1BD3">
        <w:rPr>
          <w:color w:val="000000" w:themeColor="text1"/>
        </w:rPr>
        <w:tab/>
      </w:r>
      <w:r w:rsidR="00102C14" w:rsidRPr="003E1BD3">
        <w:rPr>
          <w:color w:val="000000" w:themeColor="text1"/>
        </w:rPr>
        <w:tab/>
      </w:r>
      <w:r w:rsidR="004E7ACD" w:rsidRPr="003E1BD3">
        <w:rPr>
          <w:color w:val="000000" w:themeColor="text1"/>
        </w:rPr>
        <w:t>71</w:t>
      </w:r>
      <w:r w:rsidRPr="003E1BD3">
        <w:rPr>
          <w:color w:val="000000" w:themeColor="text1"/>
        </w:rPr>
        <w:t>% 9-4 EM match</w:t>
      </w:r>
    </w:p>
    <w:p w:rsidR="00605B90" w:rsidRPr="003E1BD3" w:rsidRDefault="004E7ACD" w:rsidP="00605B90">
      <w:pPr>
        <w:pStyle w:val="NoSpacing"/>
        <w:rPr>
          <w:color w:val="000000" w:themeColor="text1"/>
        </w:rPr>
      </w:pPr>
      <w:r w:rsidRPr="003E1BD3">
        <w:rPr>
          <w:color w:val="000000" w:themeColor="text1"/>
        </w:rPr>
        <w:t xml:space="preserve">    National 9-4 EM match: 64</w:t>
      </w:r>
      <w:r w:rsidR="00605B90" w:rsidRPr="003E1BD3">
        <w:rPr>
          <w:color w:val="000000" w:themeColor="text1"/>
        </w:rPr>
        <w:t>%</w:t>
      </w:r>
    </w:p>
    <w:p w:rsidR="00102C14" w:rsidRPr="003E1BD3" w:rsidRDefault="004F6F5C" w:rsidP="00102C14">
      <w:pPr>
        <w:pStyle w:val="NoSpacing"/>
        <w:rPr>
          <w:color w:val="000000" w:themeColor="text1"/>
        </w:rPr>
      </w:pPr>
      <w:r w:rsidRPr="003E1BD3">
        <w:rPr>
          <w:color w:val="000000" w:themeColor="text1"/>
        </w:rPr>
        <w:t xml:space="preserve">    </w:t>
      </w:r>
    </w:p>
    <w:p w:rsidR="00102C14" w:rsidRPr="003E1BD3" w:rsidRDefault="00102C14" w:rsidP="00102C14">
      <w:pPr>
        <w:ind w:left="284"/>
        <w:rPr>
          <w:color w:val="000000" w:themeColor="text1"/>
        </w:rPr>
      </w:pPr>
      <w:r w:rsidRPr="003E1BD3">
        <w:rPr>
          <w:color w:val="000000" w:themeColor="text1"/>
        </w:rPr>
        <w:t>Yea</w:t>
      </w:r>
      <w:r w:rsidR="004F6F5C" w:rsidRPr="003E1BD3">
        <w:rPr>
          <w:color w:val="000000" w:themeColor="text1"/>
        </w:rPr>
        <w:t>r 11 cohort:</w:t>
      </w:r>
      <w:r w:rsidR="004F6F5C" w:rsidRPr="003E1BD3">
        <w:rPr>
          <w:color w:val="000000" w:themeColor="text1"/>
        </w:rPr>
        <w:tab/>
        <w:t>Ebacc</w:t>
      </w:r>
      <w:r w:rsidR="004E7ACD" w:rsidRPr="003E1BD3">
        <w:rPr>
          <w:color w:val="000000" w:themeColor="text1"/>
        </w:rPr>
        <w:t xml:space="preserve"> 9-4    45</w:t>
      </w:r>
      <w:r w:rsidR="00605B90" w:rsidRPr="003E1BD3">
        <w:rPr>
          <w:color w:val="000000" w:themeColor="text1"/>
        </w:rPr>
        <w:t xml:space="preserve">% </w:t>
      </w:r>
    </w:p>
    <w:p w:rsidR="00102C14" w:rsidRPr="003E1BD3" w:rsidRDefault="004F6F5C" w:rsidP="00605B90">
      <w:pPr>
        <w:ind w:left="284"/>
        <w:rPr>
          <w:color w:val="000000" w:themeColor="text1"/>
        </w:rPr>
      </w:pPr>
      <w:r w:rsidRPr="003E1BD3">
        <w:rPr>
          <w:color w:val="000000" w:themeColor="text1"/>
        </w:rPr>
        <w:t xml:space="preserve">Disadvantaged: </w:t>
      </w:r>
      <w:r w:rsidRPr="003E1BD3">
        <w:rPr>
          <w:color w:val="000000" w:themeColor="text1"/>
        </w:rPr>
        <w:tab/>
        <w:t xml:space="preserve">Ebacc </w:t>
      </w:r>
      <w:r w:rsidR="00605B90" w:rsidRPr="003E1BD3">
        <w:rPr>
          <w:color w:val="000000" w:themeColor="text1"/>
        </w:rPr>
        <w:t xml:space="preserve">9-4    </w:t>
      </w:r>
      <w:r w:rsidR="004E7ACD" w:rsidRPr="003E1BD3">
        <w:rPr>
          <w:color w:val="000000" w:themeColor="text1"/>
        </w:rPr>
        <w:t>37</w:t>
      </w:r>
      <w:r w:rsidR="00102C14" w:rsidRPr="003E1BD3">
        <w:rPr>
          <w:color w:val="000000" w:themeColor="text1"/>
        </w:rPr>
        <w:t xml:space="preserve">% </w:t>
      </w:r>
      <w:r w:rsidR="00E465C3" w:rsidRPr="003E1BD3">
        <w:rPr>
          <w:color w:val="000000" w:themeColor="text1"/>
        </w:rPr>
        <w:t xml:space="preserve"> </w:t>
      </w:r>
    </w:p>
    <w:p w:rsidR="00605B90" w:rsidRPr="003E1BD3" w:rsidRDefault="004E7ACD" w:rsidP="00605B90">
      <w:pPr>
        <w:pStyle w:val="NoSpacing"/>
        <w:rPr>
          <w:color w:val="000000" w:themeColor="text1"/>
        </w:rPr>
      </w:pPr>
      <w:r w:rsidRPr="003E1BD3">
        <w:rPr>
          <w:color w:val="000000" w:themeColor="text1"/>
        </w:rPr>
        <w:t xml:space="preserve">    National:</w:t>
      </w:r>
      <w:r w:rsidRPr="003E1BD3">
        <w:rPr>
          <w:color w:val="000000" w:themeColor="text1"/>
        </w:rPr>
        <w:tab/>
      </w:r>
      <w:r w:rsidRPr="003E1BD3">
        <w:rPr>
          <w:color w:val="000000" w:themeColor="text1"/>
        </w:rPr>
        <w:tab/>
        <w:t>Ebacc 9-4    24</w:t>
      </w:r>
      <w:r w:rsidR="00605B90" w:rsidRPr="003E1BD3">
        <w:rPr>
          <w:color w:val="000000" w:themeColor="text1"/>
        </w:rPr>
        <w:t>%</w:t>
      </w:r>
    </w:p>
    <w:p w:rsidR="00102C14" w:rsidRPr="003E1BD3" w:rsidRDefault="00102C14" w:rsidP="00102C14">
      <w:pPr>
        <w:pStyle w:val="NoSpacing"/>
        <w:rPr>
          <w:color w:val="000000" w:themeColor="text1"/>
        </w:rPr>
      </w:pPr>
    </w:p>
    <w:p w:rsidR="00102C14" w:rsidRPr="003E1BD3" w:rsidRDefault="00E465C3" w:rsidP="00102C14">
      <w:pPr>
        <w:pStyle w:val="NoSpacing"/>
        <w:rPr>
          <w:color w:val="000000" w:themeColor="text1"/>
          <w:lang w:eastAsia="en-GB"/>
        </w:rPr>
      </w:pPr>
      <w:r w:rsidRPr="003E1BD3">
        <w:rPr>
          <w:color w:val="000000" w:themeColor="text1"/>
        </w:rPr>
        <w:t xml:space="preserve">    </w:t>
      </w:r>
      <w:r w:rsidR="00605B90" w:rsidRPr="003E1BD3">
        <w:rPr>
          <w:color w:val="000000" w:themeColor="text1"/>
        </w:rPr>
        <w:t xml:space="preserve">Both disadvantaged and </w:t>
      </w:r>
      <w:r w:rsidR="003E1BD3" w:rsidRPr="003E1BD3">
        <w:rPr>
          <w:color w:val="000000" w:themeColor="text1"/>
        </w:rPr>
        <w:t>all</w:t>
      </w:r>
      <w:r w:rsidR="00605B90" w:rsidRPr="003E1BD3">
        <w:rPr>
          <w:color w:val="000000" w:themeColor="text1"/>
        </w:rPr>
        <w:t xml:space="preserve"> have </w:t>
      </w:r>
      <w:r w:rsidR="003E1BD3">
        <w:rPr>
          <w:color w:val="000000" w:themeColor="text1"/>
        </w:rPr>
        <w:t xml:space="preserve">significantly </w:t>
      </w:r>
      <w:r w:rsidR="00605B90" w:rsidRPr="003E1BD3">
        <w:rPr>
          <w:color w:val="000000" w:themeColor="text1"/>
        </w:rPr>
        <w:t>p</w:t>
      </w:r>
      <w:r w:rsidR="003E1BD3" w:rsidRPr="003E1BD3">
        <w:rPr>
          <w:color w:val="000000" w:themeColor="text1"/>
        </w:rPr>
        <w:t>ositive Progress 8 scores (+0.9</w:t>
      </w:r>
      <w:r w:rsidR="00605B90" w:rsidRPr="003E1BD3">
        <w:rPr>
          <w:color w:val="000000" w:themeColor="text1"/>
        </w:rPr>
        <w:t xml:space="preserve"> and </w:t>
      </w:r>
      <w:r w:rsidR="003E1BD3" w:rsidRPr="003E1BD3">
        <w:rPr>
          <w:color w:val="000000" w:themeColor="text1"/>
        </w:rPr>
        <w:t>+1.02</w:t>
      </w:r>
      <w:r w:rsidR="00605B90" w:rsidRPr="003E1BD3">
        <w:rPr>
          <w:color w:val="000000" w:themeColor="text1"/>
        </w:rPr>
        <w:t xml:space="preserve"> respec</w:t>
      </w:r>
      <w:r w:rsidR="003E1BD3">
        <w:rPr>
          <w:color w:val="000000" w:themeColor="text1"/>
        </w:rPr>
        <w:t>tively).</w:t>
      </w:r>
    </w:p>
    <w:p w:rsidR="00102C14" w:rsidRPr="00621936" w:rsidRDefault="00102C14" w:rsidP="00102C14">
      <w:pPr>
        <w:pStyle w:val="NoSpacing"/>
        <w:rPr>
          <w:color w:val="FF0000"/>
        </w:rPr>
      </w:pPr>
    </w:p>
    <w:p w:rsidR="00102C14" w:rsidRPr="00621936" w:rsidRDefault="00102C14" w:rsidP="00102C14">
      <w:pPr>
        <w:pStyle w:val="NoSpacing"/>
        <w:rPr>
          <w:color w:val="FF0000"/>
        </w:rPr>
      </w:pPr>
    </w:p>
    <w:p w:rsidR="00102C14" w:rsidRPr="00102C14" w:rsidRDefault="00102C14" w:rsidP="00102C14">
      <w:pPr>
        <w:pStyle w:val="NoSpacing"/>
      </w:pPr>
    </w:p>
    <w:sectPr w:rsidR="00102C14" w:rsidRPr="00102C14" w:rsidSect="008A0E44">
      <w:pgSz w:w="16838" w:h="11906" w:orient="landscape"/>
      <w:pgMar w:top="426" w:right="720" w:bottom="426"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823567"/>
    <w:multiLevelType w:val="hybridMultilevel"/>
    <w:tmpl w:val="67CEC822"/>
    <w:lvl w:ilvl="0" w:tplc="1E62E8C8">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3B01AC"/>
    <w:multiLevelType w:val="hybridMultilevel"/>
    <w:tmpl w:val="17CA21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AE0D6C"/>
    <w:multiLevelType w:val="hybridMultilevel"/>
    <w:tmpl w:val="9266C3FA"/>
    <w:lvl w:ilvl="0" w:tplc="D1A097AA">
      <w:start w:val="1"/>
      <w:numFmt w:val="lowerLetter"/>
      <w:lvlText w:val="%1)"/>
      <w:lvlJc w:val="left"/>
      <w:pPr>
        <w:ind w:left="360" w:hanging="360"/>
      </w:pPr>
      <w:rPr>
        <w:rFonts w:hint="default"/>
        <w:b/>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 w15:restartNumberingAfterBreak="0">
    <w:nsid w:val="27D1335E"/>
    <w:multiLevelType w:val="hybridMultilevel"/>
    <w:tmpl w:val="92AEBFA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42852D9F"/>
    <w:multiLevelType w:val="hybridMultilevel"/>
    <w:tmpl w:val="F8C06B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072"/>
    <w:rsid w:val="00006B44"/>
    <w:rsid w:val="00010794"/>
    <w:rsid w:val="00030452"/>
    <w:rsid w:val="0003528C"/>
    <w:rsid w:val="000847A9"/>
    <w:rsid w:val="000A7AD5"/>
    <w:rsid w:val="000E4A75"/>
    <w:rsid w:val="00102C14"/>
    <w:rsid w:val="001138F6"/>
    <w:rsid w:val="00126FE3"/>
    <w:rsid w:val="001366F4"/>
    <w:rsid w:val="001425A9"/>
    <w:rsid w:val="00142D63"/>
    <w:rsid w:val="0014496E"/>
    <w:rsid w:val="0015187C"/>
    <w:rsid w:val="001611CF"/>
    <w:rsid w:val="00180177"/>
    <w:rsid w:val="001A244F"/>
    <w:rsid w:val="001F6DAF"/>
    <w:rsid w:val="00217099"/>
    <w:rsid w:val="00234881"/>
    <w:rsid w:val="0024406A"/>
    <w:rsid w:val="00245290"/>
    <w:rsid w:val="00252B76"/>
    <w:rsid w:val="00266751"/>
    <w:rsid w:val="00297B7C"/>
    <w:rsid w:val="002C05F4"/>
    <w:rsid w:val="002E0E64"/>
    <w:rsid w:val="0032202A"/>
    <w:rsid w:val="003249E9"/>
    <w:rsid w:val="003322F5"/>
    <w:rsid w:val="0033254B"/>
    <w:rsid w:val="00346FBC"/>
    <w:rsid w:val="003474EE"/>
    <w:rsid w:val="00371EC2"/>
    <w:rsid w:val="003751A8"/>
    <w:rsid w:val="00377D5D"/>
    <w:rsid w:val="003A0DCE"/>
    <w:rsid w:val="003A7E24"/>
    <w:rsid w:val="003B656D"/>
    <w:rsid w:val="003C15C9"/>
    <w:rsid w:val="003C4405"/>
    <w:rsid w:val="003D35EB"/>
    <w:rsid w:val="003E1BD3"/>
    <w:rsid w:val="00433326"/>
    <w:rsid w:val="00450FFE"/>
    <w:rsid w:val="00453FC2"/>
    <w:rsid w:val="00481BA9"/>
    <w:rsid w:val="00495D80"/>
    <w:rsid w:val="004E05B8"/>
    <w:rsid w:val="004E5485"/>
    <w:rsid w:val="004E777B"/>
    <w:rsid w:val="004E7ACD"/>
    <w:rsid w:val="004F45DE"/>
    <w:rsid w:val="004F6F5C"/>
    <w:rsid w:val="00500129"/>
    <w:rsid w:val="00504875"/>
    <w:rsid w:val="00511141"/>
    <w:rsid w:val="00525233"/>
    <w:rsid w:val="00573AA8"/>
    <w:rsid w:val="00574FCD"/>
    <w:rsid w:val="0057796C"/>
    <w:rsid w:val="0058699B"/>
    <w:rsid w:val="005B3D7F"/>
    <w:rsid w:val="005C6152"/>
    <w:rsid w:val="005F0FB5"/>
    <w:rsid w:val="00605B90"/>
    <w:rsid w:val="00621936"/>
    <w:rsid w:val="00632325"/>
    <w:rsid w:val="006443A3"/>
    <w:rsid w:val="00644DA0"/>
    <w:rsid w:val="00654703"/>
    <w:rsid w:val="0066420E"/>
    <w:rsid w:val="00675CB5"/>
    <w:rsid w:val="006814CF"/>
    <w:rsid w:val="006B70C4"/>
    <w:rsid w:val="006E20F7"/>
    <w:rsid w:val="006F2357"/>
    <w:rsid w:val="006F6FA9"/>
    <w:rsid w:val="00756379"/>
    <w:rsid w:val="00765F70"/>
    <w:rsid w:val="00772E12"/>
    <w:rsid w:val="00787D67"/>
    <w:rsid w:val="00797043"/>
    <w:rsid w:val="0079757C"/>
    <w:rsid w:val="007B1F45"/>
    <w:rsid w:val="007F600B"/>
    <w:rsid w:val="00800EC4"/>
    <w:rsid w:val="008014FF"/>
    <w:rsid w:val="00803DDC"/>
    <w:rsid w:val="00805E32"/>
    <w:rsid w:val="00813255"/>
    <w:rsid w:val="00821B59"/>
    <w:rsid w:val="00833157"/>
    <w:rsid w:val="008544B9"/>
    <w:rsid w:val="00862343"/>
    <w:rsid w:val="00862E34"/>
    <w:rsid w:val="00866F0F"/>
    <w:rsid w:val="00885D61"/>
    <w:rsid w:val="008A0E44"/>
    <w:rsid w:val="008E6A15"/>
    <w:rsid w:val="009910AA"/>
    <w:rsid w:val="009D463F"/>
    <w:rsid w:val="009E6185"/>
    <w:rsid w:val="00A1140C"/>
    <w:rsid w:val="00A2543C"/>
    <w:rsid w:val="00A268F1"/>
    <w:rsid w:val="00A52935"/>
    <w:rsid w:val="00A57A38"/>
    <w:rsid w:val="00A73405"/>
    <w:rsid w:val="00AA565B"/>
    <w:rsid w:val="00AC0CC2"/>
    <w:rsid w:val="00AC7A00"/>
    <w:rsid w:val="00AF6797"/>
    <w:rsid w:val="00B102FD"/>
    <w:rsid w:val="00B13DA5"/>
    <w:rsid w:val="00B22752"/>
    <w:rsid w:val="00B22A8B"/>
    <w:rsid w:val="00B36BA8"/>
    <w:rsid w:val="00B409F7"/>
    <w:rsid w:val="00B42BAB"/>
    <w:rsid w:val="00B73359"/>
    <w:rsid w:val="00B87A49"/>
    <w:rsid w:val="00B90584"/>
    <w:rsid w:val="00BA0D3F"/>
    <w:rsid w:val="00BC1494"/>
    <w:rsid w:val="00BD718C"/>
    <w:rsid w:val="00BE42AE"/>
    <w:rsid w:val="00C05C85"/>
    <w:rsid w:val="00C24E7B"/>
    <w:rsid w:val="00C4094E"/>
    <w:rsid w:val="00CB1707"/>
    <w:rsid w:val="00CB70E3"/>
    <w:rsid w:val="00CC112E"/>
    <w:rsid w:val="00CE02E1"/>
    <w:rsid w:val="00CF169F"/>
    <w:rsid w:val="00CF2DE4"/>
    <w:rsid w:val="00D01542"/>
    <w:rsid w:val="00D2497B"/>
    <w:rsid w:val="00D71FA4"/>
    <w:rsid w:val="00D7620B"/>
    <w:rsid w:val="00D7672D"/>
    <w:rsid w:val="00D91F7E"/>
    <w:rsid w:val="00D94976"/>
    <w:rsid w:val="00DB4F63"/>
    <w:rsid w:val="00DB5D0A"/>
    <w:rsid w:val="00DE3479"/>
    <w:rsid w:val="00E15422"/>
    <w:rsid w:val="00E23C92"/>
    <w:rsid w:val="00E465C3"/>
    <w:rsid w:val="00E94FED"/>
    <w:rsid w:val="00EB5726"/>
    <w:rsid w:val="00ED2072"/>
    <w:rsid w:val="00EF58AC"/>
    <w:rsid w:val="00F07616"/>
    <w:rsid w:val="00F1517E"/>
    <w:rsid w:val="00F20C3A"/>
    <w:rsid w:val="00F27B81"/>
    <w:rsid w:val="00F352A3"/>
    <w:rsid w:val="00F522BD"/>
    <w:rsid w:val="00F53CE3"/>
    <w:rsid w:val="00F56D6C"/>
    <w:rsid w:val="00F70543"/>
    <w:rsid w:val="00F748F5"/>
    <w:rsid w:val="00F766AA"/>
    <w:rsid w:val="00FC2CB1"/>
    <w:rsid w:val="00FC6A1D"/>
    <w:rsid w:val="00FE7C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565A2F-F717-40D1-8AFB-7ABB93F8E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ill Sans MT" w:eastAsiaTheme="minorHAnsi" w:hAnsi="Gill Sans MT" w:cstheme="minorBidi"/>
        <w:sz w:val="24"/>
        <w:szCs w:val="24"/>
        <w:lang w:val="en-GB"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NoSpacing"/>
    <w:qFormat/>
    <w:rsid w:val="00ED2072"/>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73359"/>
    <w:pPr>
      <w:spacing w:after="0"/>
    </w:pPr>
  </w:style>
  <w:style w:type="table" w:styleId="MediumGrid1-Accent3">
    <w:name w:val="Medium Grid 1 Accent 3"/>
    <w:basedOn w:val="TableNormal"/>
    <w:uiPriority w:val="67"/>
    <w:rsid w:val="00ED2072"/>
    <w:pPr>
      <w:spacing w:after="0"/>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paragraph" w:styleId="BalloonText">
    <w:name w:val="Balloon Text"/>
    <w:basedOn w:val="Normal"/>
    <w:link w:val="BalloonTextChar"/>
    <w:uiPriority w:val="99"/>
    <w:semiHidden/>
    <w:unhideWhenUsed/>
    <w:rsid w:val="004E05B8"/>
    <w:rPr>
      <w:rFonts w:ascii="Tahoma" w:hAnsi="Tahoma" w:cs="Tahoma"/>
      <w:sz w:val="16"/>
      <w:szCs w:val="16"/>
    </w:rPr>
  </w:style>
  <w:style w:type="character" w:customStyle="1" w:styleId="BalloonTextChar">
    <w:name w:val="Balloon Text Char"/>
    <w:basedOn w:val="DefaultParagraphFont"/>
    <w:link w:val="BalloonText"/>
    <w:uiPriority w:val="99"/>
    <w:semiHidden/>
    <w:rsid w:val="004E05B8"/>
    <w:rPr>
      <w:rFonts w:ascii="Tahoma" w:hAnsi="Tahoma" w:cs="Tahoma"/>
      <w:sz w:val="16"/>
      <w:szCs w:val="16"/>
    </w:rPr>
  </w:style>
  <w:style w:type="paragraph" w:customStyle="1" w:styleId="Default">
    <w:name w:val="Default"/>
    <w:rsid w:val="009E6185"/>
    <w:pPr>
      <w:autoSpaceDE w:val="0"/>
      <w:autoSpaceDN w:val="0"/>
      <w:adjustRightInd w:val="0"/>
      <w:spacing w:after="0"/>
    </w:pPr>
    <w:rPr>
      <w:rFonts w:ascii="Tahoma" w:hAnsi="Tahoma" w:cs="Tahoma"/>
      <w:color w:val="000000"/>
    </w:rPr>
  </w:style>
  <w:style w:type="paragraph" w:styleId="ListParagraph">
    <w:name w:val="List Paragraph"/>
    <w:basedOn w:val="Normal"/>
    <w:uiPriority w:val="34"/>
    <w:qFormat/>
    <w:rsid w:val="00102C14"/>
    <w:pPr>
      <w:ind w:left="720"/>
      <w:contextualSpacing/>
    </w:pPr>
  </w:style>
  <w:style w:type="paragraph" w:styleId="NormalWeb">
    <w:name w:val="Normal (Web)"/>
    <w:basedOn w:val="Normal"/>
    <w:uiPriority w:val="99"/>
    <w:unhideWhenUsed/>
    <w:rsid w:val="00803DDC"/>
    <w:pPr>
      <w:spacing w:before="100" w:beforeAutospacing="1" w:after="100" w:afterAutospacing="1"/>
    </w:pPr>
    <w:rPr>
      <w:rFonts w:ascii="Times New Roman" w:eastAsiaTheme="minorEastAsia" w:hAnsi="Times New Roman" w:cs="Times New Roman"/>
      <w:lang w:eastAsia="en-GB"/>
    </w:rPr>
  </w:style>
  <w:style w:type="table" w:styleId="TableGrid">
    <w:name w:val="Table Grid"/>
    <w:basedOn w:val="TableNormal"/>
    <w:uiPriority w:val="59"/>
    <w:rsid w:val="00E23C92"/>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305830">
      <w:bodyDiv w:val="1"/>
      <w:marLeft w:val="0"/>
      <w:marRight w:val="0"/>
      <w:marTop w:val="0"/>
      <w:marBottom w:val="0"/>
      <w:divBdr>
        <w:top w:val="none" w:sz="0" w:space="0" w:color="auto"/>
        <w:left w:val="none" w:sz="0" w:space="0" w:color="auto"/>
        <w:bottom w:val="none" w:sz="0" w:space="0" w:color="auto"/>
        <w:right w:val="none" w:sz="0" w:space="0" w:color="auto"/>
      </w:divBdr>
    </w:div>
    <w:div w:id="233972930">
      <w:bodyDiv w:val="1"/>
      <w:marLeft w:val="0"/>
      <w:marRight w:val="0"/>
      <w:marTop w:val="0"/>
      <w:marBottom w:val="0"/>
      <w:divBdr>
        <w:top w:val="none" w:sz="0" w:space="0" w:color="auto"/>
        <w:left w:val="none" w:sz="0" w:space="0" w:color="auto"/>
        <w:bottom w:val="none" w:sz="0" w:space="0" w:color="auto"/>
        <w:right w:val="none" w:sz="0" w:space="0" w:color="auto"/>
      </w:divBdr>
    </w:div>
    <w:div w:id="27213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05AF12-E32D-47F7-AD87-D7F6AD13E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1228</Words>
  <Characters>7001</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Manwaring</dc:creator>
  <cp:lastModifiedBy>Angela McRory</cp:lastModifiedBy>
  <cp:revision>2</cp:revision>
  <cp:lastPrinted>2019-01-24T12:15:00Z</cp:lastPrinted>
  <dcterms:created xsi:type="dcterms:W3CDTF">2019-02-08T10:59:00Z</dcterms:created>
  <dcterms:modified xsi:type="dcterms:W3CDTF">2019-02-08T10:59:00Z</dcterms:modified>
</cp:coreProperties>
</file>